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346710</wp:posOffset>
            </wp:positionH>
            <wp:positionV relativeFrom="paragraph">
              <wp:posOffset>130175</wp:posOffset>
            </wp:positionV>
            <wp:extent cx="1778000" cy="577850"/>
            <wp:effectExtent l="0" t="0" r="5080" b="1270"/>
            <wp:wrapNone/>
            <wp:docPr id="1" name="图片 1" descr="医院新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新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76253" cy="577282"/>
                    </a:xfrm>
                    <a:prstGeom prst="rect">
                      <a:avLst/>
                    </a:prstGeom>
                    <a:noFill/>
                    <a:ln>
                      <a:noFill/>
                    </a:ln>
                  </pic:spPr>
                </pic:pic>
              </a:graphicData>
            </a:graphic>
          </wp:anchor>
        </w:drawing>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宋体" w:hAnsi="宋体" w:eastAsia="宋体" w:cs="宋体"/>
          <w:b/>
          <w:sz w:val="40"/>
          <w:szCs w:val="40"/>
          <w:u w:val="single"/>
        </w:rPr>
      </w:pPr>
      <w:r>
        <w:rPr>
          <w:rFonts w:hint="eastAsia" w:ascii="黑体" w:eastAsia="黑体"/>
          <w:sz w:val="40"/>
          <w:szCs w:val="40"/>
          <w:u w:val="single"/>
        </w:rPr>
        <w:t>国药东风总医院</w:t>
      </w:r>
      <w:r>
        <w:rPr>
          <w:rFonts w:ascii="宋体" w:hAnsi="宋体" w:eastAsia="宋体" w:cs="宋体"/>
          <w:b/>
          <w:sz w:val="40"/>
          <w:szCs w:val="40"/>
          <w:u w:val="single"/>
        </w:rPr>
        <w:t>网络安全等级保护测评</w:t>
      </w:r>
    </w:p>
    <w:p>
      <w:pPr>
        <w:jc w:val="center"/>
        <w:rPr>
          <w:rFonts w:hint="default" w:ascii="黑体" w:eastAsia="黑体"/>
          <w:sz w:val="40"/>
          <w:szCs w:val="40"/>
          <w:u w:val="single"/>
          <w:lang w:val="en-US" w:eastAsia="zh-CN"/>
        </w:rPr>
      </w:pPr>
      <w:r>
        <w:rPr>
          <w:rFonts w:hint="eastAsia" w:ascii="黑体" w:eastAsia="黑体"/>
          <w:sz w:val="40"/>
          <w:szCs w:val="40"/>
          <w:u w:val="single"/>
          <w:lang w:val="en-US" w:eastAsia="zh-CN"/>
        </w:rPr>
        <w:t>采购项目</w:t>
      </w:r>
    </w:p>
    <w:p>
      <w:pPr>
        <w:jc w:val="center"/>
        <w:rPr>
          <w:rFonts w:hint="eastAsia"/>
          <w:sz w:val="48"/>
          <w:szCs w:val="48"/>
        </w:rPr>
      </w:pPr>
    </w:p>
    <w:p>
      <w:pPr>
        <w:jc w:val="center"/>
        <w:rPr>
          <w:rFonts w:hint="eastAsia" w:ascii="黑体" w:eastAsia="黑体"/>
          <w:sz w:val="56"/>
          <w:szCs w:val="56"/>
        </w:rPr>
      </w:pPr>
    </w:p>
    <w:p>
      <w:pPr>
        <w:jc w:val="center"/>
        <w:rPr>
          <w:rFonts w:hint="eastAsia" w:ascii="黑体" w:eastAsia="黑体"/>
          <w:sz w:val="56"/>
          <w:szCs w:val="56"/>
        </w:rPr>
      </w:pPr>
    </w:p>
    <w:p>
      <w:pPr>
        <w:jc w:val="center"/>
        <w:rPr>
          <w:rFonts w:asciiTheme="minorEastAsia" w:hAnsiTheme="minorEastAsia"/>
          <w:b/>
          <w:sz w:val="24"/>
          <w:szCs w:val="24"/>
        </w:rPr>
      </w:pPr>
      <w:r>
        <w:rPr>
          <w:rFonts w:hint="eastAsia" w:ascii="黑体" w:eastAsia="黑体"/>
          <w:sz w:val="56"/>
          <w:szCs w:val="56"/>
        </w:rPr>
        <w:t>采购文件</w:t>
      </w:r>
    </w:p>
    <w:p>
      <w:pPr>
        <w:jc w:val="center"/>
        <w:rPr>
          <w:rFonts w:hint="default" w:ascii="黑体" w:eastAsia="黑体"/>
          <w:sz w:val="28"/>
          <w:szCs w:val="28"/>
          <w:u w:val="single"/>
          <w:lang w:val="en-US" w:eastAsia="zh-CN"/>
        </w:rPr>
      </w:pPr>
      <w:r>
        <w:rPr>
          <w:rFonts w:hint="eastAsia" w:asciiTheme="minorEastAsia" w:hAnsiTheme="minorEastAsia"/>
          <w:b w:val="0"/>
          <w:bCs/>
          <w:sz w:val="30"/>
          <w:szCs w:val="30"/>
          <w:lang w:val="en-US" w:eastAsia="zh-CN"/>
        </w:rPr>
        <w:t xml:space="preserve">  </w:t>
      </w:r>
      <w:r>
        <w:rPr>
          <w:rFonts w:hint="eastAsia" w:asciiTheme="minorEastAsia" w:hAnsiTheme="minorEastAsia"/>
          <w:b w:val="0"/>
          <w:bCs/>
          <w:sz w:val="30"/>
          <w:szCs w:val="30"/>
        </w:rPr>
        <w:t>项目名称：</w:t>
      </w:r>
      <w:r>
        <w:rPr>
          <w:rFonts w:hint="eastAsia" w:ascii="黑体" w:eastAsia="黑体"/>
          <w:sz w:val="28"/>
          <w:szCs w:val="28"/>
          <w:u w:val="single"/>
        </w:rPr>
        <w:t>国药东风总医院</w:t>
      </w:r>
      <w:r>
        <w:rPr>
          <w:rFonts w:ascii="宋体" w:hAnsi="宋体" w:eastAsia="宋体" w:cs="宋体"/>
          <w:b/>
          <w:sz w:val="28"/>
          <w:szCs w:val="28"/>
          <w:u w:val="single"/>
        </w:rPr>
        <w:t>网络安全等级保护测评</w:t>
      </w:r>
      <w:r>
        <w:rPr>
          <w:rFonts w:hint="eastAsia" w:ascii="黑体" w:eastAsia="黑体"/>
          <w:sz w:val="28"/>
          <w:szCs w:val="28"/>
          <w:u w:val="single"/>
          <w:lang w:val="en-US" w:eastAsia="zh-CN"/>
        </w:rPr>
        <w:t>采购项目</w:t>
      </w:r>
    </w:p>
    <w:p>
      <w:pPr>
        <w:pStyle w:val="14"/>
        <w:ind w:firstLine="825" w:firstLineChars="275"/>
        <w:jc w:val="left"/>
        <w:rPr>
          <w:rFonts w:hint="default"/>
          <w:b w:val="0"/>
          <w:bCs/>
          <w:sz w:val="30"/>
          <w:szCs w:val="30"/>
          <w:lang w:val="en-US" w:eastAsia="zh-CN"/>
        </w:rPr>
      </w:pPr>
      <w:r>
        <w:rPr>
          <w:rFonts w:hint="eastAsia" w:ascii="宋体" w:hAnsi="宋体" w:cs="宋体"/>
          <w:b w:val="0"/>
          <w:bCs/>
          <w:sz w:val="30"/>
          <w:szCs w:val="30"/>
          <w:lang w:val="en-US" w:eastAsia="zh-CN"/>
        </w:rPr>
        <w:t>项目编号：ZB-GYDFZYY-2023-10-0001</w:t>
      </w:r>
    </w:p>
    <w:p>
      <w:pPr>
        <w:bidi w:val="0"/>
        <w:jc w:val="center"/>
        <w:rPr>
          <w:b/>
          <w:bCs/>
          <w:sz w:val="22"/>
          <w:szCs w:val="24"/>
        </w:rPr>
      </w:pPr>
    </w:p>
    <w:p>
      <w:pPr>
        <w:pStyle w:val="20"/>
        <w:keepNext w:val="0"/>
        <w:keepLines w:val="0"/>
        <w:widowControl/>
        <w:suppressLineNumbers w:val="0"/>
        <w:spacing w:before="157" w:beforeAutospacing="0" w:after="34" w:afterAutospacing="0" w:line="364" w:lineRule="auto"/>
        <w:jc w:val="center"/>
        <w:rPr>
          <w:rFonts w:hint="eastAsia" w:asciiTheme="minorEastAsia" w:hAnsiTheme="minorEastAsia" w:eastAsiaTheme="minorEastAsia" w:cstheme="minorEastAsia"/>
          <w:b/>
          <w:bCs w:val="0"/>
          <w:sz w:val="28"/>
          <w:szCs w:val="28"/>
        </w:rPr>
      </w:pPr>
    </w:p>
    <w:p>
      <w:pPr>
        <w:pStyle w:val="20"/>
        <w:keepNext w:val="0"/>
        <w:keepLines w:val="0"/>
        <w:widowControl/>
        <w:suppressLineNumbers w:val="0"/>
        <w:spacing w:before="157" w:beforeAutospacing="0" w:after="34" w:afterAutospacing="0" w:line="364" w:lineRule="auto"/>
        <w:jc w:val="center"/>
        <w:rPr>
          <w:rFonts w:hint="eastAsia" w:asciiTheme="minorEastAsia" w:hAnsiTheme="minorEastAsia" w:eastAsiaTheme="minorEastAsia" w:cstheme="minorEastAsia"/>
          <w:b/>
          <w:bCs w:val="0"/>
          <w:sz w:val="28"/>
          <w:szCs w:val="28"/>
        </w:rPr>
      </w:pPr>
    </w:p>
    <w:p>
      <w:pPr>
        <w:jc w:val="center"/>
        <w:rPr>
          <w:rFonts w:asciiTheme="minorEastAsia" w:hAnsiTheme="minorEastAsia"/>
          <w:b/>
          <w:sz w:val="48"/>
          <w:szCs w:val="48"/>
        </w:rPr>
      </w:pPr>
    </w:p>
    <w:p>
      <w:pPr>
        <w:jc w:val="center"/>
        <w:rPr>
          <w:rFonts w:hint="eastAsia" w:ascii="黑体" w:eastAsia="黑体"/>
          <w:sz w:val="30"/>
          <w:szCs w:val="30"/>
        </w:rPr>
      </w:pPr>
    </w:p>
    <w:p>
      <w:pPr>
        <w:jc w:val="center"/>
        <w:rPr>
          <w:rFonts w:hint="eastAsia" w:asciiTheme="minorEastAsia" w:hAnsiTheme="minorEastAsia"/>
          <w:b/>
          <w:sz w:val="36"/>
          <w:szCs w:val="36"/>
        </w:rPr>
      </w:pPr>
      <w:r>
        <w:rPr>
          <w:rFonts w:hint="eastAsia" w:ascii="黑体" w:eastAsia="黑体"/>
          <w:sz w:val="30"/>
          <w:szCs w:val="30"/>
        </w:rPr>
        <w:t>采购人：</w:t>
      </w:r>
      <w:r>
        <w:rPr>
          <w:rFonts w:hint="eastAsia" w:ascii="黑体" w:eastAsia="黑体"/>
          <w:sz w:val="30"/>
          <w:szCs w:val="30"/>
          <w:u w:val="single"/>
        </w:rPr>
        <w:t>国药东风总医院</w:t>
      </w:r>
    </w:p>
    <w:p>
      <w:pPr>
        <w:jc w:val="center"/>
        <w:rPr>
          <w:rFonts w:asciiTheme="minorEastAsia" w:hAnsiTheme="minorEastAsia"/>
          <w:b/>
          <w:sz w:val="28"/>
          <w:szCs w:val="28"/>
        </w:rPr>
      </w:pPr>
      <w:r>
        <w:rPr>
          <w:rFonts w:hint="eastAsia" w:asciiTheme="minorEastAsia" w:hAnsiTheme="minorEastAsia"/>
          <w:b/>
          <w:sz w:val="36"/>
          <w:szCs w:val="36"/>
        </w:rPr>
        <w:t>202</w:t>
      </w:r>
      <w:r>
        <w:rPr>
          <w:rFonts w:hint="eastAsia" w:asciiTheme="minorEastAsia" w:hAnsiTheme="minorEastAsia"/>
          <w:b/>
          <w:sz w:val="36"/>
          <w:szCs w:val="36"/>
          <w:lang w:val="en-US" w:eastAsia="zh-CN"/>
        </w:rPr>
        <w:t>3</w:t>
      </w:r>
      <w:r>
        <w:rPr>
          <w:rFonts w:hint="eastAsia" w:asciiTheme="minorEastAsia" w:hAnsiTheme="minorEastAsia"/>
          <w:b/>
          <w:sz w:val="36"/>
          <w:szCs w:val="36"/>
        </w:rPr>
        <w:t>年</w:t>
      </w:r>
      <w:r>
        <w:rPr>
          <w:rFonts w:hint="eastAsia" w:asciiTheme="minorEastAsia" w:hAnsiTheme="minorEastAsia"/>
          <w:b/>
          <w:sz w:val="36"/>
          <w:szCs w:val="36"/>
          <w:lang w:val="en-US" w:eastAsia="zh-CN"/>
        </w:rPr>
        <w:t>10</w:t>
      </w:r>
      <w:r>
        <w:rPr>
          <w:rFonts w:hint="eastAsia" w:asciiTheme="minorEastAsia" w:hAnsiTheme="minorEastAsia"/>
          <w:b/>
          <w:sz w:val="36"/>
          <w:szCs w:val="36"/>
        </w:rPr>
        <w:t>月</w:t>
      </w:r>
    </w:p>
    <w:p>
      <w:pPr>
        <w:jc w:val="both"/>
        <w:rPr>
          <w:rFonts w:asciiTheme="minorEastAsia" w:hAnsiTheme="minorEastAsia"/>
          <w:b/>
          <w:sz w:val="28"/>
          <w:szCs w:val="28"/>
        </w:rPr>
      </w:pPr>
    </w:p>
    <w:p/>
    <w:p>
      <w:pPr>
        <w:pStyle w:val="14"/>
        <w:ind w:left="0" w:leftChars="0" w:firstLine="0" w:firstLineChars="0"/>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第一章 采购书</w:t>
      </w:r>
    </w:p>
    <w:p>
      <w:pPr>
        <w:spacing w:line="360" w:lineRule="auto"/>
        <w:rPr>
          <w:sz w:val="24"/>
          <w:szCs w:val="24"/>
        </w:rPr>
      </w:pPr>
    </w:p>
    <w:p>
      <w:pPr>
        <w:ind w:firstLine="720" w:firstLineChars="300"/>
        <w:jc w:val="both"/>
        <w:rPr>
          <w:rFonts w:hint="default" w:ascii="宋体" w:hAnsi="宋体" w:eastAsia="宋体" w:cs="宋体"/>
          <w:b/>
          <w:bCs w:val="0"/>
          <w:sz w:val="28"/>
          <w:szCs w:val="28"/>
          <w:lang w:val="en-US" w:eastAsia="zh-CN"/>
        </w:rPr>
      </w:pPr>
      <w:r>
        <w:rPr>
          <w:rFonts w:hint="eastAsia" w:asciiTheme="minorEastAsia" w:hAnsiTheme="minorEastAsia"/>
          <w:sz w:val="24"/>
          <w:szCs w:val="24"/>
        </w:rPr>
        <w:t>1.  项目名称</w:t>
      </w:r>
      <w:r>
        <w:rPr>
          <w:rFonts w:hint="eastAsia" w:asciiTheme="minorEastAsia" w:hAnsiTheme="minorEastAsia"/>
          <w:sz w:val="22"/>
          <w:szCs w:val="22"/>
        </w:rPr>
        <w:t>：</w:t>
      </w:r>
      <w:r>
        <w:rPr>
          <w:rFonts w:hint="eastAsia" w:ascii="黑体" w:eastAsia="黑体"/>
          <w:sz w:val="24"/>
          <w:szCs w:val="24"/>
          <w:u w:val="single"/>
        </w:rPr>
        <w:t>国药东风总医院</w:t>
      </w:r>
      <w:r>
        <w:rPr>
          <w:rFonts w:ascii="宋体" w:hAnsi="宋体" w:eastAsia="宋体" w:cs="宋体"/>
          <w:b/>
          <w:sz w:val="24"/>
          <w:szCs w:val="24"/>
          <w:u w:val="single"/>
        </w:rPr>
        <w:t>网络安全等级保护测评</w:t>
      </w:r>
      <w:r>
        <w:rPr>
          <w:rFonts w:hint="eastAsia" w:ascii="黑体" w:eastAsia="黑体"/>
          <w:sz w:val="24"/>
          <w:szCs w:val="24"/>
          <w:u w:val="single"/>
          <w:lang w:val="en-US" w:eastAsia="zh-CN"/>
        </w:rPr>
        <w:t>采购项目</w:t>
      </w:r>
    </w:p>
    <w:p>
      <w:pPr>
        <w:spacing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2.  项目概况：详见技术要求</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3.  资金来源：自筹</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4.  交货方式、地点：</w:t>
      </w:r>
    </w:p>
    <w:p>
      <w:pPr>
        <w:spacing w:line="360" w:lineRule="auto"/>
        <w:ind w:right="-833" w:rightChars="-347" w:firstLine="1200" w:firstLineChars="500"/>
        <w:rPr>
          <w:rFonts w:asciiTheme="minorEastAsia" w:hAnsiTheme="minorEastAsia"/>
          <w:sz w:val="24"/>
          <w:szCs w:val="24"/>
        </w:rPr>
      </w:pPr>
      <w:r>
        <w:rPr>
          <w:rFonts w:hint="eastAsia" w:asciiTheme="minorEastAsia" w:hAnsiTheme="minorEastAsia"/>
          <w:sz w:val="24"/>
          <w:szCs w:val="24"/>
        </w:rPr>
        <w:t>运输方式：由报价人自行确定（包装费、运输费及保险费，包含在总报价内）</w:t>
      </w:r>
    </w:p>
    <w:p>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交货地点：湖北省十堰市大岭路16号</w:t>
      </w:r>
    </w:p>
    <w:p>
      <w:pPr>
        <w:spacing w:line="360" w:lineRule="auto"/>
        <w:ind w:firstLine="1262" w:firstLineChars="526"/>
        <w:rPr>
          <w:rFonts w:asciiTheme="minorEastAsia" w:hAnsiTheme="minorEastAsia"/>
          <w:sz w:val="24"/>
          <w:szCs w:val="24"/>
        </w:rPr>
      </w:pPr>
      <w:r>
        <w:rPr>
          <w:rFonts w:hint="eastAsia" w:asciiTheme="minorEastAsia" w:hAnsiTheme="minorEastAsia"/>
          <w:sz w:val="24"/>
          <w:szCs w:val="24"/>
        </w:rPr>
        <w:t>收货单位：国药东风总医院</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5.  货款结算方式：</w:t>
      </w:r>
    </w:p>
    <w:p>
      <w:pPr>
        <w:spacing w:line="360" w:lineRule="auto"/>
        <w:ind w:left="1200" w:leftChars="500" w:firstLine="0" w:firstLineChars="0"/>
        <w:rPr>
          <w:rFonts w:hint="eastAsia" w:eastAsia="宋体" w:asciiTheme="minorEastAsia" w:hAnsiTheme="minorEastAsia"/>
          <w:sz w:val="24"/>
          <w:szCs w:val="24"/>
          <w:lang w:eastAsia="zh-CN"/>
        </w:rPr>
      </w:pPr>
      <w:r>
        <w:rPr>
          <w:rFonts w:ascii="宋体" w:hAnsi="宋体" w:eastAsia="宋体" w:cs="宋体"/>
          <w:sz w:val="24"/>
          <w:szCs w:val="24"/>
        </w:rPr>
        <w:t>当年测评的信息系统，取得公安部门颁发的三级等保备案证书后，一次性支付等保测评费用</w:t>
      </w:r>
      <w:r>
        <w:rPr>
          <w:rFonts w:hint="eastAsia" w:ascii="宋体" w:hAnsi="宋体" w:eastAsia="宋体" w:cs="宋体"/>
          <w:sz w:val="24"/>
          <w:szCs w:val="24"/>
          <w:lang w:eastAsia="zh-CN"/>
        </w:rPr>
        <w:t>。</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6.  报名时间：202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10</w:t>
      </w:r>
      <w:r>
        <w:rPr>
          <w:rFonts w:hint="eastAsia" w:asciiTheme="minorEastAsia" w:hAnsiTheme="minorEastAsia"/>
          <w:sz w:val="24"/>
          <w:szCs w:val="24"/>
        </w:rPr>
        <w:t>月</w:t>
      </w:r>
      <w:r>
        <w:rPr>
          <w:rFonts w:hint="eastAsia" w:asciiTheme="minorEastAsia" w:hAnsiTheme="minorEastAsia"/>
          <w:sz w:val="24"/>
          <w:szCs w:val="24"/>
          <w:lang w:val="en-US" w:eastAsia="zh-CN"/>
        </w:rPr>
        <w:t>23</w:t>
      </w:r>
      <w:r>
        <w:rPr>
          <w:rFonts w:hint="eastAsia" w:asciiTheme="minorEastAsia" w:hAnsiTheme="minorEastAsia"/>
          <w:sz w:val="24"/>
          <w:szCs w:val="24"/>
        </w:rPr>
        <w:t>日至202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10</w:t>
      </w:r>
      <w:r>
        <w:rPr>
          <w:rFonts w:hint="eastAsia" w:asciiTheme="minorEastAsia" w:hAnsiTheme="minorEastAsia"/>
          <w:sz w:val="24"/>
          <w:szCs w:val="24"/>
        </w:rPr>
        <w:t>月</w:t>
      </w:r>
      <w:r>
        <w:rPr>
          <w:rFonts w:hint="eastAsia" w:asciiTheme="minorEastAsia" w:hAnsiTheme="minorEastAsia"/>
          <w:sz w:val="24"/>
          <w:szCs w:val="24"/>
          <w:lang w:val="en-US" w:eastAsia="zh-CN"/>
        </w:rPr>
        <w:t>30</w:t>
      </w:r>
      <w:r>
        <w:rPr>
          <w:rFonts w:hint="eastAsia" w:asciiTheme="minorEastAsia" w:hAnsiTheme="minorEastAsia"/>
          <w:sz w:val="24"/>
          <w:szCs w:val="24"/>
        </w:rPr>
        <w:t>日</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7.  报价截止时间：202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10</w:t>
      </w:r>
      <w:r>
        <w:rPr>
          <w:rFonts w:hint="eastAsia" w:asciiTheme="minorEastAsia" w:hAnsiTheme="minorEastAsia"/>
          <w:sz w:val="24"/>
          <w:szCs w:val="24"/>
        </w:rPr>
        <w:t>月</w:t>
      </w:r>
      <w:r>
        <w:rPr>
          <w:rFonts w:hint="eastAsia" w:asciiTheme="minorEastAsia" w:hAnsiTheme="minorEastAsia"/>
          <w:sz w:val="24"/>
          <w:szCs w:val="24"/>
          <w:lang w:val="en-US" w:eastAsia="zh-CN"/>
        </w:rPr>
        <w:t>30</w:t>
      </w:r>
      <w:r>
        <w:rPr>
          <w:rFonts w:hint="eastAsia" w:asciiTheme="minorEastAsia" w:hAnsiTheme="minorEastAsia"/>
          <w:sz w:val="24"/>
          <w:szCs w:val="24"/>
        </w:rPr>
        <w:t>日下午18：00以前</w:t>
      </w:r>
    </w:p>
    <w:p>
      <w:pPr>
        <w:spacing w:line="360" w:lineRule="auto"/>
        <w:ind w:firstLine="720" w:firstLineChars="300"/>
        <w:rPr>
          <w:rFonts w:hint="eastAsia" w:asciiTheme="minorEastAsia" w:hAnsiTheme="minorEastAsia"/>
          <w:sz w:val="24"/>
          <w:szCs w:val="24"/>
          <w:lang w:val="en-US" w:eastAsia="zh-CN"/>
        </w:rPr>
      </w:pPr>
      <w:r>
        <w:rPr>
          <w:rFonts w:hint="eastAsia" w:asciiTheme="minorEastAsia" w:hAnsiTheme="minorEastAsia"/>
          <w:sz w:val="24"/>
          <w:szCs w:val="24"/>
        </w:rPr>
        <w:t>8.  评审时间：</w:t>
      </w:r>
      <w:r>
        <w:rPr>
          <w:rFonts w:hint="eastAsia" w:asciiTheme="minorEastAsia" w:hAnsiTheme="minorEastAsia"/>
          <w:sz w:val="24"/>
          <w:szCs w:val="24"/>
          <w:lang w:val="en-US" w:eastAsia="zh-CN"/>
        </w:rPr>
        <w:t>另行通知</w:t>
      </w:r>
    </w:p>
    <w:p>
      <w:pPr>
        <w:spacing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9.  报价方式：纸质报价</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10. 业主联系方式：</w:t>
      </w:r>
    </w:p>
    <w:p>
      <w:pPr>
        <w:spacing w:line="360" w:lineRule="auto"/>
        <w:ind w:firstLine="1024" w:firstLineChars="427"/>
        <w:rPr>
          <w:rFonts w:hint="eastAsia" w:asciiTheme="minorEastAsia" w:hAnsiTheme="minorEastAsia"/>
          <w:sz w:val="24"/>
          <w:szCs w:val="24"/>
        </w:rPr>
      </w:pPr>
      <w:r>
        <w:rPr>
          <w:rFonts w:hint="eastAsia" w:asciiTheme="minorEastAsia" w:hAnsiTheme="minorEastAsia"/>
          <w:sz w:val="24"/>
          <w:szCs w:val="24"/>
        </w:rPr>
        <w:t>联系单位：国药东风总医院</w:t>
      </w:r>
    </w:p>
    <w:p>
      <w:pPr>
        <w:spacing w:line="360" w:lineRule="auto"/>
        <w:ind w:firstLine="1024" w:firstLineChars="427"/>
        <w:rPr>
          <w:rFonts w:hint="eastAsia" w:asciiTheme="minorEastAsia" w:hAnsiTheme="minorEastAsia"/>
          <w:sz w:val="24"/>
          <w:szCs w:val="24"/>
          <w:lang w:val="en-US" w:eastAsia="zh-CN"/>
        </w:rPr>
      </w:pPr>
      <w:r>
        <w:rPr>
          <w:rFonts w:hint="eastAsia" w:asciiTheme="minorEastAsia" w:hAnsiTheme="minorEastAsia"/>
          <w:sz w:val="24"/>
          <w:szCs w:val="24"/>
        </w:rPr>
        <w:t>联系人：陈静</w:t>
      </w:r>
      <w:r>
        <w:rPr>
          <w:rFonts w:hint="eastAsia" w:asciiTheme="minorEastAsia" w:hAnsiTheme="minorEastAsia"/>
          <w:sz w:val="24"/>
          <w:szCs w:val="24"/>
          <w:lang w:val="en-US" w:eastAsia="zh-CN"/>
        </w:rPr>
        <w:t xml:space="preserve">        电话：  13907280772    </w:t>
      </w:r>
    </w:p>
    <w:p>
      <w:pPr>
        <w:spacing w:line="360" w:lineRule="auto"/>
        <w:ind w:firstLine="1024" w:firstLineChars="427"/>
        <w:rPr>
          <w:rFonts w:hint="default" w:eastAsia="宋体" w:asciiTheme="minorEastAsia" w:hAnsiTheme="minorEastAsia"/>
          <w:sz w:val="24"/>
          <w:szCs w:val="24"/>
          <w:lang w:val="en-US" w:eastAsia="zh-CN"/>
        </w:rPr>
      </w:pPr>
      <w:r>
        <w:rPr>
          <w:rFonts w:hint="eastAsia" w:asciiTheme="minorEastAsia" w:hAnsiTheme="minorEastAsia"/>
          <w:sz w:val="24"/>
          <w:szCs w:val="24"/>
          <w:lang w:val="en-US" w:eastAsia="zh-CN"/>
        </w:rPr>
        <w:t>技术顾问：何永钢    电话：  18986911234</w:t>
      </w:r>
    </w:p>
    <w:p>
      <w:pPr>
        <w:spacing w:line="360" w:lineRule="auto"/>
        <w:ind w:firstLine="480"/>
        <w:rPr>
          <w:rFonts w:hint="eastAsia" w:asciiTheme="minorEastAsia" w:hAnsiTheme="minorEastAsia"/>
          <w:sz w:val="24"/>
          <w:szCs w:val="24"/>
        </w:rPr>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bookmarkStart w:id="0" w:name="_GoBack"/>
      <w:bookmarkEnd w:id="0"/>
    </w:p>
    <w:p>
      <w:pPr>
        <w:pStyle w:val="14"/>
        <w:ind w:left="0" w:leftChars="0" w:firstLine="0" w:firstLineChars="0"/>
      </w:pPr>
    </w:p>
    <w:p>
      <w:pPr>
        <w:pStyle w:val="14"/>
        <w:ind w:left="0" w:leftChars="0" w:firstLine="0" w:firstLineChars="0"/>
      </w:pPr>
    </w:p>
    <w:p>
      <w:pPr>
        <w:adjustRightInd w:val="0"/>
        <w:snapToGrid w:val="0"/>
        <w:jc w:val="center"/>
        <w:rPr>
          <w:b/>
          <w:sz w:val="32"/>
          <w:szCs w:val="32"/>
        </w:rPr>
      </w:pPr>
      <w:r>
        <w:rPr>
          <w:rFonts w:hint="eastAsia"/>
          <w:b/>
          <w:sz w:val="32"/>
          <w:szCs w:val="32"/>
        </w:rPr>
        <w:t>国药东风总医院</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年计算机采购</w:t>
      </w:r>
      <w:r>
        <w:rPr>
          <w:rFonts w:hint="eastAsia" w:ascii="宋体" w:hAnsi="宋体" w:eastAsia="宋体" w:cs="宋体"/>
          <w:b/>
          <w:bCs/>
          <w:sz w:val="32"/>
          <w:szCs w:val="32"/>
          <w:lang w:val="en-US" w:eastAsia="zh-CN"/>
        </w:rPr>
        <w:t>项目</w:t>
      </w:r>
    </w:p>
    <w:p>
      <w:pPr>
        <w:spacing w:line="360" w:lineRule="auto"/>
        <w:jc w:val="center"/>
        <w:rPr>
          <w:rFonts w:ascii="宋体" w:hAnsi="宋体" w:eastAsia="宋体" w:cs="宋体"/>
          <w:b/>
          <w:sz w:val="36"/>
        </w:rPr>
      </w:pPr>
      <w:r>
        <w:rPr>
          <w:rFonts w:ascii="宋体" w:hAnsi="宋体" w:eastAsia="宋体" w:cs="宋体"/>
          <w:b/>
          <w:sz w:val="36"/>
        </w:rPr>
        <w:t>国药东风总医院</w:t>
      </w:r>
    </w:p>
    <w:p>
      <w:pPr>
        <w:spacing w:line="360" w:lineRule="auto"/>
        <w:jc w:val="center"/>
        <w:rPr>
          <w:rFonts w:ascii="宋体" w:hAnsi="宋体" w:eastAsia="宋体" w:cs="宋体"/>
          <w:b/>
          <w:sz w:val="36"/>
        </w:rPr>
      </w:pPr>
      <w:r>
        <w:rPr>
          <w:rFonts w:ascii="宋体" w:hAnsi="宋体" w:eastAsia="宋体" w:cs="宋体"/>
          <w:b/>
          <w:sz w:val="36"/>
        </w:rPr>
        <w:t>网络安全等级保护测评招标要求</w:t>
      </w:r>
    </w:p>
    <w:p>
      <w:pPr>
        <w:spacing w:line="360" w:lineRule="auto"/>
        <w:rPr>
          <w:rFonts w:ascii="宋体" w:hAnsi="宋体" w:eastAsia="宋体" w:cs="宋体"/>
          <w:b/>
          <w:sz w:val="28"/>
        </w:rPr>
      </w:pPr>
      <w:r>
        <w:rPr>
          <w:rFonts w:ascii="宋体" w:hAnsi="宋体" w:eastAsia="宋体" w:cs="宋体"/>
          <w:b/>
          <w:sz w:val="28"/>
        </w:rPr>
        <w:t>一、资格要求</w:t>
      </w:r>
    </w:p>
    <w:p>
      <w:pPr>
        <w:spacing w:line="360" w:lineRule="auto"/>
        <w:ind w:firstLine="480"/>
        <w:jc w:val="left"/>
        <w:rPr>
          <w:rFonts w:ascii="宋体" w:hAnsi="宋体" w:eastAsia="宋体" w:cs="宋体"/>
          <w:sz w:val="28"/>
          <w:shd w:val="clear" w:color="auto" w:fill="FFFFFF"/>
        </w:rPr>
      </w:pPr>
      <w:r>
        <w:rPr>
          <w:rFonts w:ascii="宋体" w:hAnsi="宋体" w:eastAsia="宋体" w:cs="宋体"/>
          <w:sz w:val="24"/>
          <w:shd w:val="clear" w:color="auto" w:fill="FFFFFF"/>
        </w:rPr>
        <w:t>1.供货商应具备《政府采购法》第二十二条规定的条件。</w:t>
      </w:r>
    </w:p>
    <w:p>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2.供应商必须是在中华人民共和国境内注册并取得营业执照的具有独立法人的合法企业。</w:t>
      </w:r>
    </w:p>
    <w:p>
      <w:pPr>
        <w:spacing w:line="360" w:lineRule="auto"/>
        <w:ind w:firstLine="420"/>
        <w:rPr>
          <w:rFonts w:hint="eastAsia" w:ascii="宋体" w:hAnsi="宋体" w:eastAsia="宋体" w:cs="宋体"/>
          <w:color w:val="auto"/>
          <w:sz w:val="24"/>
        </w:rPr>
      </w:pPr>
      <w:r>
        <w:rPr>
          <w:rFonts w:ascii="宋体" w:hAnsi="宋体" w:eastAsia="宋体" w:cs="宋体"/>
          <w:sz w:val="24"/>
        </w:rPr>
        <w:t>3.供应商必须持有公安部第三研究所（国家认证认可委员会批准的认证机构）认证发放的《网络安全等级测评与检测评估机构服务认证证书》（需在投标文件中附复印件）</w:t>
      </w:r>
      <w:r>
        <w:rPr>
          <w:rFonts w:ascii="宋体" w:hAnsi="宋体" w:eastAsia="宋体" w:cs="宋体"/>
          <w:color w:val="auto"/>
          <w:sz w:val="24"/>
        </w:rPr>
        <w:t>。</w:t>
      </w:r>
      <w:r>
        <w:rPr>
          <w:rFonts w:hint="eastAsia" w:ascii="宋体" w:hAnsi="宋体" w:eastAsia="宋体" w:cs="宋体"/>
          <w:color w:val="auto"/>
          <w:sz w:val="24"/>
        </w:rPr>
        <w:t>投标人须具有本地化服务能力，非湖北区域内公司需提供湖北省网络安全等级保护工作协调小组办公室颁发的《等级测评机构异地测评项目备案表》、本地化分支机构证明材料和本地化常驻人员近一年的社保证明。</w:t>
      </w:r>
    </w:p>
    <w:p>
      <w:pPr>
        <w:spacing w:line="360" w:lineRule="auto"/>
        <w:ind w:firstLine="420"/>
        <w:rPr>
          <w:rFonts w:ascii="宋体" w:hAnsi="宋体" w:eastAsia="宋体" w:cs="宋体"/>
          <w:sz w:val="24"/>
        </w:rPr>
      </w:pPr>
      <w:r>
        <w:rPr>
          <w:rFonts w:ascii="宋体" w:hAnsi="宋体" w:eastAsia="宋体" w:cs="宋体"/>
          <w:sz w:val="24"/>
        </w:rPr>
        <w:t>4.</w:t>
      </w:r>
      <w:r>
        <w:rPr>
          <w:rFonts w:ascii="宋体" w:hAnsi="宋体" w:eastAsia="宋体" w:cs="宋体"/>
          <w:color w:val="000000"/>
          <w:sz w:val="24"/>
        </w:rPr>
        <w:t>参与测评人员不少于4人，其中须提供至少一名高级测评师资格证明或测评人员具有CISP证书（种类含盖CISO、CISE和CISP-PTE等）</w:t>
      </w:r>
      <w:r>
        <w:rPr>
          <w:rFonts w:ascii="宋体" w:hAnsi="宋体" w:eastAsia="宋体" w:cs="宋体"/>
          <w:sz w:val="24"/>
        </w:rPr>
        <w:t>；</w:t>
      </w:r>
    </w:p>
    <w:p>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5、本项目不允许联合体投标。</w:t>
      </w:r>
    </w:p>
    <w:p>
      <w:pPr>
        <w:spacing w:line="360" w:lineRule="auto"/>
        <w:jc w:val="left"/>
        <w:rPr>
          <w:rFonts w:ascii="宋体" w:hAnsi="宋体" w:eastAsia="宋体" w:cs="宋体"/>
          <w:b/>
          <w:sz w:val="28"/>
          <w:shd w:val="clear" w:color="auto" w:fill="FFFFFF"/>
        </w:rPr>
      </w:pPr>
      <w:r>
        <w:rPr>
          <w:rFonts w:ascii="宋体" w:hAnsi="宋体" w:eastAsia="宋体" w:cs="宋体"/>
          <w:b/>
          <w:sz w:val="28"/>
          <w:shd w:val="clear" w:color="auto" w:fill="FFFFFF"/>
        </w:rPr>
        <w:t>二、项目概况</w:t>
      </w:r>
    </w:p>
    <w:p>
      <w:pPr>
        <w:spacing w:line="360" w:lineRule="auto"/>
        <w:ind w:firstLine="360"/>
        <w:rPr>
          <w:rFonts w:ascii="宋体" w:hAnsi="宋体" w:eastAsia="宋体" w:cs="宋体"/>
          <w:color w:val="000000"/>
          <w:sz w:val="24"/>
        </w:rPr>
      </w:pPr>
      <w:r>
        <w:rPr>
          <w:rFonts w:ascii="宋体" w:hAnsi="宋体" w:eastAsia="宋体" w:cs="宋体"/>
          <w:color w:val="000000"/>
          <w:sz w:val="24"/>
        </w:rPr>
        <w:t>1、项目名称：国药东风总医院网络安全等级保护测评</w:t>
      </w:r>
    </w:p>
    <w:p>
      <w:pPr>
        <w:spacing w:line="360" w:lineRule="auto"/>
        <w:ind w:firstLine="360"/>
        <w:rPr>
          <w:rFonts w:ascii="宋体" w:hAnsi="宋体" w:eastAsia="宋体" w:cs="宋体"/>
          <w:color w:val="000000"/>
          <w:sz w:val="24"/>
        </w:rPr>
      </w:pPr>
      <w:r>
        <w:rPr>
          <w:rFonts w:ascii="宋体" w:hAnsi="宋体" w:eastAsia="宋体" w:cs="宋体"/>
          <w:color w:val="000000"/>
          <w:sz w:val="24"/>
        </w:rPr>
        <w:t>2、项目说明：协助完成两个拟定为三级的信息系统（数字化信息管理系统、医院信息集成平台）的安全等级保护定级、备案、测评、整改等工作。</w:t>
      </w:r>
    </w:p>
    <w:p>
      <w:pPr>
        <w:spacing w:line="360" w:lineRule="auto"/>
        <w:rPr>
          <w:rFonts w:ascii="宋体" w:hAnsi="宋体" w:eastAsia="宋体" w:cs="宋体"/>
          <w:sz w:val="28"/>
        </w:rPr>
      </w:pPr>
      <w:r>
        <w:rPr>
          <w:rFonts w:ascii="宋体" w:hAnsi="宋体" w:eastAsia="宋体" w:cs="宋体"/>
          <w:b/>
          <w:sz w:val="28"/>
        </w:rPr>
        <w:t xml:space="preserve">三、项目需求 </w:t>
      </w:r>
      <w:r>
        <w:rPr>
          <w:rFonts w:ascii="宋体" w:hAnsi="宋体" w:eastAsia="宋体" w:cs="宋体"/>
          <w:sz w:val="28"/>
        </w:rPr>
        <w:t xml:space="preserve">  </w:t>
      </w:r>
    </w:p>
    <w:tbl>
      <w:tblPr>
        <w:tblStyle w:val="22"/>
        <w:tblW w:w="0" w:type="auto"/>
        <w:tblInd w:w="367" w:type="dxa"/>
        <w:tblLayout w:type="autofit"/>
        <w:tblCellMar>
          <w:top w:w="0" w:type="dxa"/>
          <w:left w:w="10" w:type="dxa"/>
          <w:bottom w:w="0" w:type="dxa"/>
          <w:right w:w="10" w:type="dxa"/>
        </w:tblCellMar>
      </w:tblPr>
      <w:tblGrid>
        <w:gridCol w:w="785"/>
        <w:gridCol w:w="5832"/>
        <w:gridCol w:w="1356"/>
      </w:tblGrid>
      <w:tr>
        <w:tc>
          <w:tcPr>
            <w:tcW w:w="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序号</w:t>
            </w:r>
          </w:p>
        </w:tc>
        <w:tc>
          <w:tcPr>
            <w:tcW w:w="58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系统名称</w:t>
            </w:r>
          </w:p>
        </w:tc>
        <w:tc>
          <w:tcPr>
            <w:tcW w:w="13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系统等级</w:t>
            </w:r>
          </w:p>
        </w:tc>
      </w:tr>
      <w:tr>
        <w:tblPrEx>
          <w:tblCellMar>
            <w:top w:w="0" w:type="dxa"/>
            <w:left w:w="10" w:type="dxa"/>
            <w:bottom w:w="0" w:type="dxa"/>
            <w:right w:w="10" w:type="dxa"/>
          </w:tblCellMar>
        </w:tblPrEx>
        <w:tc>
          <w:tcPr>
            <w:tcW w:w="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1</w:t>
            </w:r>
          </w:p>
        </w:tc>
        <w:tc>
          <w:tcPr>
            <w:tcW w:w="58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数字化信息管理系统（包含HIS、LIS、PACS、EMR）</w:t>
            </w:r>
          </w:p>
        </w:tc>
        <w:tc>
          <w:tcPr>
            <w:tcW w:w="13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三级</w:t>
            </w:r>
          </w:p>
        </w:tc>
      </w:tr>
      <w:tr>
        <w:tblPrEx>
          <w:tblCellMar>
            <w:top w:w="0" w:type="dxa"/>
            <w:left w:w="10" w:type="dxa"/>
            <w:bottom w:w="0" w:type="dxa"/>
            <w:right w:w="10" w:type="dxa"/>
          </w:tblCellMar>
        </w:tblPrEx>
        <w:tc>
          <w:tcPr>
            <w:tcW w:w="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2</w:t>
            </w:r>
          </w:p>
        </w:tc>
        <w:tc>
          <w:tcPr>
            <w:tcW w:w="58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eastAsia" w:ascii="宋体" w:hAnsi="宋体" w:eastAsia="宋体" w:cs="宋体"/>
                <w:sz w:val="24"/>
                <w:lang w:val="en-US" w:eastAsia="zh-CN"/>
              </w:rPr>
              <w:t>互联互通</w:t>
            </w:r>
            <w:r>
              <w:rPr>
                <w:rFonts w:hint="default" w:ascii="宋体" w:hAnsi="宋体" w:eastAsia="宋体" w:cs="宋体"/>
                <w:sz w:val="24"/>
              </w:rPr>
              <w:t>集成平台</w:t>
            </w:r>
          </w:p>
        </w:tc>
        <w:tc>
          <w:tcPr>
            <w:tcW w:w="13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三级</w:t>
            </w:r>
          </w:p>
        </w:tc>
      </w:tr>
    </w:tbl>
    <w:p>
      <w:pPr>
        <w:keepNext/>
        <w:keepLines/>
        <w:spacing w:before="120" w:line="360" w:lineRule="auto"/>
        <w:rPr>
          <w:rFonts w:ascii="宋体" w:hAnsi="宋体" w:eastAsia="宋体" w:cs="宋体"/>
          <w:b/>
          <w:sz w:val="28"/>
        </w:rPr>
      </w:pPr>
      <w:r>
        <w:rPr>
          <w:rFonts w:ascii="宋体" w:hAnsi="宋体" w:eastAsia="宋体" w:cs="宋体"/>
          <w:b/>
          <w:sz w:val="28"/>
        </w:rPr>
        <w:t>1、定级备案服务</w:t>
      </w:r>
    </w:p>
    <w:p>
      <w:pPr>
        <w:spacing w:line="360" w:lineRule="auto"/>
        <w:rPr>
          <w:rFonts w:ascii="宋体" w:hAnsi="宋体" w:eastAsia="宋体" w:cs="宋体"/>
          <w:sz w:val="28"/>
        </w:rPr>
      </w:pPr>
      <w:r>
        <w:rPr>
          <w:rFonts w:ascii="宋体" w:hAnsi="宋体" w:eastAsia="宋体" w:cs="宋体"/>
          <w:sz w:val="28"/>
        </w:rPr>
        <w:t xml:space="preserve">  </w:t>
      </w:r>
      <w:r>
        <w:rPr>
          <w:rFonts w:ascii="宋体" w:hAnsi="宋体" w:eastAsia="宋体" w:cs="宋体"/>
          <w:color w:val="000000"/>
          <w:sz w:val="24"/>
        </w:rPr>
        <w:t xml:space="preserve">  </w:t>
      </w:r>
      <w:r>
        <w:rPr>
          <w:rFonts w:ascii="宋体" w:hAnsi="宋体" w:eastAsia="宋体" w:cs="宋体"/>
          <w:sz w:val="24"/>
        </w:rPr>
        <w:t>完成</w:t>
      </w:r>
      <w:r>
        <w:rPr>
          <w:rFonts w:ascii="宋体" w:hAnsi="宋体" w:eastAsia="宋体" w:cs="宋体"/>
          <w:color w:val="000000"/>
          <w:sz w:val="24"/>
        </w:rPr>
        <w:t>被测信息系统定级、备案材料的编写工作，</w:t>
      </w:r>
      <w:r>
        <w:rPr>
          <w:rFonts w:ascii="宋体" w:hAnsi="宋体" w:eastAsia="宋体" w:cs="宋体"/>
          <w:sz w:val="24"/>
        </w:rPr>
        <w:t>完成</w:t>
      </w:r>
      <w:r>
        <w:rPr>
          <w:rFonts w:ascii="宋体" w:hAnsi="宋体" w:eastAsia="宋体" w:cs="宋体"/>
          <w:color w:val="000000"/>
          <w:sz w:val="24"/>
        </w:rPr>
        <w:t>到公安监管等部门办理备案手续工作，确保信息系统安全保护等级定级准确、备案完整。</w:t>
      </w:r>
    </w:p>
    <w:p>
      <w:pPr>
        <w:keepNext/>
        <w:keepLines/>
        <w:spacing w:before="120" w:line="360" w:lineRule="auto"/>
        <w:rPr>
          <w:rFonts w:ascii="宋体" w:hAnsi="宋体" w:eastAsia="宋体" w:cs="宋体"/>
          <w:b/>
          <w:sz w:val="28"/>
        </w:rPr>
      </w:pPr>
      <w:r>
        <w:rPr>
          <w:rFonts w:ascii="宋体" w:hAnsi="宋体" w:eastAsia="宋体" w:cs="宋体"/>
          <w:b/>
          <w:sz w:val="28"/>
        </w:rPr>
        <w:t>2、信息系统等级测评</w:t>
      </w:r>
    </w:p>
    <w:p>
      <w:pPr>
        <w:spacing w:line="360" w:lineRule="auto"/>
        <w:ind w:firstLine="480"/>
        <w:rPr>
          <w:rFonts w:ascii="宋体" w:hAnsi="宋体" w:eastAsia="宋体" w:cs="宋体"/>
          <w:sz w:val="24"/>
        </w:rPr>
      </w:pPr>
      <w:r>
        <w:rPr>
          <w:rFonts w:ascii="宋体" w:hAnsi="宋体" w:eastAsia="宋体" w:cs="宋体"/>
          <w:color w:val="000000"/>
          <w:sz w:val="24"/>
        </w:rPr>
        <w:t xml:space="preserve"> </w:t>
      </w:r>
      <w:r>
        <w:rPr>
          <w:rFonts w:ascii="宋体" w:hAnsi="宋体" w:eastAsia="宋体" w:cs="宋体"/>
          <w:sz w:val="24"/>
        </w:rPr>
        <w:t>依据《GB/T 22239-2019 信息安全技术信息系统安全等级保护基本要求》、《GB/T 28448-2019 信息安全技术信息系统安全等级保护测评要求》、《GB/T 25070-2019信息安全技术网络安全等级保护安全设计技术要求》、《GBT28449-2018信息安全技术 网络安全等级保护测评过程指南》、《GB/T 20984-2007 信息安全技术信息安全风险评估规范》、《GB/T 22080-2008 信息技术安全技术信息安全管理体系要求》、《GB/T 22081-2008 信息技术安全技术信息安全管理实用规则》等标准的要求，对</w:t>
      </w:r>
      <w:r>
        <w:rPr>
          <w:rFonts w:ascii="宋体" w:hAnsi="宋体" w:eastAsia="宋体" w:cs="宋体"/>
          <w:color w:val="000000"/>
          <w:sz w:val="24"/>
        </w:rPr>
        <w:t>国药东风总医院</w:t>
      </w:r>
      <w:r>
        <w:rPr>
          <w:rFonts w:ascii="宋体" w:hAnsi="宋体" w:eastAsia="宋体" w:cs="宋体"/>
          <w:sz w:val="24"/>
        </w:rPr>
        <w:t>进行等级测评，出具符合国家网络安全等级保护格式要求的等级测评报告。测评范围为项目目标所涉及的机房基础设施、网络环境、主机层面、应用层、数据库层及相关安全辅助设备与管理制度。服务目标为系统最终通过公安部门及相关部门的等级保护检查要求。</w:t>
      </w:r>
    </w:p>
    <w:p>
      <w:pPr>
        <w:spacing w:line="360" w:lineRule="auto"/>
        <w:rPr>
          <w:rFonts w:ascii="宋体" w:hAnsi="宋体" w:eastAsia="宋体" w:cs="宋体"/>
          <w:color w:val="000000"/>
          <w:sz w:val="24"/>
        </w:rPr>
      </w:pPr>
      <w:r>
        <w:rPr>
          <w:rFonts w:ascii="宋体" w:hAnsi="宋体" w:eastAsia="宋体" w:cs="宋体"/>
          <w:color w:val="000000"/>
          <w:sz w:val="24"/>
        </w:rPr>
        <w:t>测评内容应包括但不限于以下内容：</w:t>
      </w:r>
    </w:p>
    <w:p>
      <w:pPr>
        <w:spacing w:line="360" w:lineRule="auto"/>
        <w:ind w:firstLine="480"/>
        <w:rPr>
          <w:rFonts w:ascii="宋体" w:hAnsi="宋体" w:eastAsia="宋体" w:cs="宋体"/>
          <w:color w:val="000000"/>
          <w:sz w:val="24"/>
        </w:rPr>
      </w:pPr>
      <w:r>
        <w:rPr>
          <w:rFonts w:ascii="宋体" w:hAnsi="宋体" w:eastAsia="宋体" w:cs="宋体"/>
          <w:sz w:val="24"/>
        </w:rPr>
        <w:t>（1）安全技术测评：包括安全物理环境、安全通信网络、安全区域边界、安全计算环境和安全管理中心</w:t>
      </w:r>
      <w:r>
        <w:rPr>
          <w:rFonts w:ascii="宋体" w:hAnsi="宋体" w:eastAsia="宋体" w:cs="宋体"/>
          <w:color w:val="000000"/>
          <w:sz w:val="24"/>
        </w:rPr>
        <w:t>等五个方面的安全测评；</w:t>
      </w:r>
    </w:p>
    <w:p>
      <w:pPr>
        <w:spacing w:line="360" w:lineRule="auto"/>
        <w:ind w:firstLine="480"/>
        <w:rPr>
          <w:rFonts w:ascii="宋体" w:hAnsi="宋体" w:eastAsia="宋体" w:cs="宋体"/>
          <w:sz w:val="24"/>
        </w:rPr>
      </w:pPr>
      <w:r>
        <w:rPr>
          <w:rFonts w:ascii="宋体" w:hAnsi="宋体" w:eastAsia="宋体" w:cs="宋体"/>
          <w:sz w:val="24"/>
        </w:rPr>
        <w:t xml:space="preserve">（2）安全管理测评：安全管理制度、安全管理机构、安全管理人员、安全建设管理和安全运维管理等五个方面的安全测评； </w:t>
      </w:r>
    </w:p>
    <w:p>
      <w:pPr>
        <w:keepNext/>
        <w:keepLines/>
        <w:spacing w:before="120" w:line="360" w:lineRule="auto"/>
        <w:rPr>
          <w:rFonts w:ascii="宋体" w:hAnsi="宋体" w:eastAsia="宋体" w:cs="宋体"/>
          <w:b/>
          <w:sz w:val="28"/>
        </w:rPr>
      </w:pPr>
      <w:r>
        <w:rPr>
          <w:rFonts w:ascii="宋体" w:hAnsi="宋体" w:eastAsia="宋体" w:cs="宋体"/>
          <w:b/>
          <w:sz w:val="28"/>
        </w:rPr>
        <w:t>3、编制等级保护安全建设方案</w:t>
      </w:r>
    </w:p>
    <w:p>
      <w:pPr>
        <w:tabs>
          <w:tab w:val="left" w:pos="420"/>
        </w:tabs>
        <w:spacing w:line="360" w:lineRule="auto"/>
        <w:ind w:firstLine="360"/>
        <w:rPr>
          <w:rFonts w:ascii="宋体" w:hAnsi="宋体" w:eastAsia="宋体" w:cs="宋体"/>
          <w:sz w:val="24"/>
        </w:rPr>
      </w:pPr>
      <w:r>
        <w:rPr>
          <w:rFonts w:ascii="宋体" w:hAnsi="宋体" w:eastAsia="宋体" w:cs="宋体"/>
          <w:sz w:val="24"/>
        </w:rPr>
        <w:t>范围</w:t>
      </w:r>
    </w:p>
    <w:p>
      <w:pPr>
        <w:spacing w:line="360" w:lineRule="auto"/>
        <w:ind w:firstLine="360"/>
        <w:rPr>
          <w:rFonts w:ascii="宋体" w:hAnsi="宋体" w:eastAsia="宋体" w:cs="宋体"/>
          <w:sz w:val="24"/>
        </w:rPr>
      </w:pPr>
      <w:r>
        <w:rPr>
          <w:rFonts w:ascii="宋体" w:hAnsi="宋体" w:eastAsia="宋体" w:cs="宋体"/>
          <w:sz w:val="24"/>
        </w:rPr>
        <w:t xml:space="preserve"> 本次安全建设设计方案应符合等级保护相关规定，具体包括物理安全措施，网络基础设施；安全基础设施；应用系统硬件、软件；安全策略；管理规范和流程；系统架构等对象。</w:t>
      </w:r>
    </w:p>
    <w:p>
      <w:pPr>
        <w:tabs>
          <w:tab w:val="left" w:pos="420"/>
        </w:tabs>
        <w:spacing w:line="360" w:lineRule="auto"/>
        <w:ind w:firstLine="360"/>
        <w:rPr>
          <w:rFonts w:ascii="宋体" w:hAnsi="宋体" w:eastAsia="宋体" w:cs="宋体"/>
          <w:sz w:val="24"/>
        </w:rPr>
      </w:pPr>
      <w:r>
        <w:rPr>
          <w:rFonts w:ascii="宋体" w:hAnsi="宋体" w:eastAsia="宋体" w:cs="宋体"/>
          <w:sz w:val="24"/>
        </w:rPr>
        <w:t xml:space="preserve">工作内容 </w:t>
      </w:r>
    </w:p>
    <w:p>
      <w:pPr>
        <w:spacing w:line="360" w:lineRule="auto"/>
        <w:ind w:firstLine="360"/>
        <w:rPr>
          <w:rFonts w:ascii="宋体" w:hAnsi="宋体" w:eastAsia="宋体" w:cs="宋体"/>
          <w:sz w:val="24"/>
        </w:rPr>
      </w:pPr>
      <w:r>
        <w:rPr>
          <w:rFonts w:ascii="宋体" w:hAnsi="宋体" w:eastAsia="宋体" w:cs="宋体"/>
          <w:sz w:val="24"/>
        </w:rPr>
        <w:t xml:space="preserve"> 测评完成后根据测评结果并依据</w:t>
      </w:r>
      <w:r>
        <w:rPr>
          <w:rFonts w:ascii="宋体" w:hAnsi="宋体" w:eastAsia="宋体" w:cs="宋体"/>
          <w:color w:val="000000"/>
          <w:sz w:val="24"/>
        </w:rPr>
        <w:t>《信息安全等级保护管理办法》</w:t>
      </w:r>
      <w:r>
        <w:rPr>
          <w:rFonts w:ascii="宋体" w:hAnsi="宋体" w:eastAsia="宋体" w:cs="宋体"/>
          <w:sz w:val="24"/>
        </w:rPr>
        <w:t>、《信息系统安全等级保护基本要求》、《信息系统安全保护实施指南》、《信息系统安全管理要求》、《信息系统通用安全技术要求》、《信息系统等级保护安全工程管理要求》、《信息系统等级保护安全设计技术要求》等标准规范要求制定信息系统信息安全等级保护建设方案。后续提供咨询服务，协助用户完善信息系统安全防护措施，使各信息系统达到等级保护基本符合的要求。</w:t>
      </w:r>
    </w:p>
    <w:p>
      <w:pPr>
        <w:keepNext/>
        <w:keepLines/>
        <w:spacing w:before="120" w:line="360" w:lineRule="auto"/>
        <w:rPr>
          <w:rFonts w:ascii="宋体" w:hAnsi="宋体" w:eastAsia="宋体" w:cs="宋体"/>
          <w:b/>
          <w:sz w:val="28"/>
        </w:rPr>
      </w:pPr>
      <w:r>
        <w:rPr>
          <w:rFonts w:ascii="宋体" w:hAnsi="宋体" w:eastAsia="宋体" w:cs="宋体"/>
          <w:b/>
          <w:sz w:val="28"/>
        </w:rPr>
        <w:t>4、标准和规范</w:t>
      </w:r>
    </w:p>
    <w:p>
      <w:pPr>
        <w:spacing w:line="360" w:lineRule="auto"/>
        <w:ind w:firstLine="480"/>
        <w:jc w:val="left"/>
        <w:rPr>
          <w:rFonts w:ascii="宋体" w:hAnsi="宋体" w:eastAsia="宋体" w:cs="宋体"/>
          <w:sz w:val="24"/>
        </w:rPr>
      </w:pPr>
      <w:r>
        <w:rPr>
          <w:rFonts w:ascii="宋体" w:hAnsi="宋体" w:eastAsia="宋体" w:cs="宋体"/>
          <w:sz w:val="24"/>
        </w:rPr>
        <w:t>《中华人民共和国计算机信息系统安全保护条例》国务院[1994]147号</w:t>
      </w:r>
    </w:p>
    <w:p>
      <w:pPr>
        <w:spacing w:line="360" w:lineRule="auto"/>
        <w:ind w:firstLine="480"/>
        <w:jc w:val="left"/>
        <w:rPr>
          <w:rFonts w:ascii="宋体" w:hAnsi="宋体" w:eastAsia="宋体" w:cs="宋体"/>
          <w:sz w:val="24"/>
        </w:rPr>
      </w:pPr>
      <w:r>
        <w:rPr>
          <w:rFonts w:ascii="宋体" w:hAnsi="宋体" w:eastAsia="宋体" w:cs="宋体"/>
          <w:sz w:val="24"/>
        </w:rPr>
        <w:t>《关于加强信息安全保障工作的意见》中办发[2003]27号</w:t>
      </w:r>
    </w:p>
    <w:p>
      <w:pPr>
        <w:spacing w:line="360" w:lineRule="auto"/>
        <w:ind w:firstLine="480"/>
        <w:jc w:val="left"/>
        <w:rPr>
          <w:rFonts w:ascii="宋体" w:hAnsi="宋体" w:eastAsia="宋体" w:cs="宋体"/>
          <w:sz w:val="24"/>
        </w:rPr>
      </w:pPr>
      <w:r>
        <w:rPr>
          <w:rFonts w:ascii="宋体" w:hAnsi="宋体" w:eastAsia="宋体" w:cs="宋体"/>
          <w:sz w:val="24"/>
        </w:rPr>
        <w:t>《关于信息等级保护工作的实施意见》（公通字66号）</w:t>
      </w:r>
    </w:p>
    <w:p>
      <w:pPr>
        <w:spacing w:line="360" w:lineRule="auto"/>
        <w:ind w:firstLine="480"/>
        <w:jc w:val="left"/>
        <w:rPr>
          <w:rFonts w:ascii="宋体" w:hAnsi="宋体" w:eastAsia="宋体" w:cs="宋体"/>
          <w:sz w:val="24"/>
        </w:rPr>
      </w:pPr>
      <w:r>
        <w:rPr>
          <w:rFonts w:ascii="宋体" w:hAnsi="宋体" w:eastAsia="宋体" w:cs="宋体"/>
          <w:sz w:val="24"/>
        </w:rPr>
        <w:t>《信息安全等级保护管理办法》公通字[2007]43号</w:t>
      </w:r>
    </w:p>
    <w:p>
      <w:pPr>
        <w:spacing w:line="360" w:lineRule="auto"/>
        <w:ind w:firstLine="480"/>
        <w:jc w:val="left"/>
        <w:rPr>
          <w:rFonts w:ascii="宋体" w:hAnsi="宋体" w:eastAsia="宋体" w:cs="宋体"/>
          <w:sz w:val="24"/>
        </w:rPr>
      </w:pPr>
      <w:r>
        <w:rPr>
          <w:rFonts w:ascii="宋体" w:hAnsi="宋体" w:eastAsia="宋体" w:cs="宋体"/>
          <w:sz w:val="24"/>
        </w:rPr>
        <w:t>《关于加强国家电子政务工程建设项目信息安全风险评估工作的通知》 （发改高技[2008]2071号）</w:t>
      </w:r>
    </w:p>
    <w:p>
      <w:pPr>
        <w:spacing w:line="360" w:lineRule="auto"/>
        <w:ind w:firstLine="480"/>
        <w:jc w:val="left"/>
        <w:rPr>
          <w:rFonts w:ascii="宋体" w:hAnsi="宋体" w:eastAsia="宋体" w:cs="宋体"/>
          <w:sz w:val="24"/>
        </w:rPr>
      </w:pPr>
      <w:r>
        <w:rPr>
          <w:rFonts w:ascii="宋体" w:hAnsi="宋体" w:eastAsia="宋体" w:cs="宋体"/>
          <w:sz w:val="24"/>
        </w:rPr>
        <w:t>《计算机信息系统安全保护等级划分准则》(GB17859-1999)</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《信息安全技术 信息系统安全等级保护基本要求》(GB/T 22239-2019)</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《信息安全技术 信息系统安全等级保护定级指南》(GB/T 22240-2020)</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《信息安全技术 信息系统安全等级保护测评要求》(GB/T 28448-2019)</w:t>
      </w:r>
    </w:p>
    <w:p>
      <w:pPr>
        <w:spacing w:line="360" w:lineRule="auto"/>
        <w:ind w:firstLine="480"/>
        <w:jc w:val="left"/>
        <w:rPr>
          <w:rFonts w:ascii="宋体" w:hAnsi="宋体" w:eastAsia="宋体" w:cs="宋体"/>
          <w:sz w:val="24"/>
        </w:rPr>
      </w:pPr>
      <w:r>
        <w:rPr>
          <w:rFonts w:ascii="宋体" w:hAnsi="宋体" w:eastAsia="宋体" w:cs="宋体"/>
          <w:color w:val="000000"/>
          <w:sz w:val="24"/>
        </w:rPr>
        <w:t>《信息安全技术网络安全等级保护安全设计技术要求》（GB/T 25070-2019）</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信息系统安全等级保护基本要求》(GB/T 22239-2008)</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信息系统安全等级保护定级指南》(GB/T 22240-2008)</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信息系统安全等级保护测评要求》(GB/T 28448-2012)</w:t>
      </w:r>
    </w:p>
    <w:p>
      <w:pPr>
        <w:spacing w:line="360" w:lineRule="auto"/>
        <w:ind w:firstLine="480"/>
        <w:jc w:val="left"/>
        <w:rPr>
          <w:rFonts w:ascii="宋体" w:hAnsi="宋体" w:eastAsia="宋体" w:cs="宋体"/>
          <w:sz w:val="24"/>
        </w:rPr>
      </w:pPr>
      <w:r>
        <w:rPr>
          <w:rFonts w:ascii="宋体" w:hAnsi="宋体" w:eastAsia="宋体" w:cs="宋体"/>
          <w:sz w:val="24"/>
        </w:rPr>
        <w:t>《信息安全技术 信息安全等级保护 信息系统物理安全技术要求》(GB/T 21052-2007)</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信息系统安全等级保护实施指南》</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信息系统安全等级保护测评准则》</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信息系统通用安全技术要求》(GB/T20271-2006)</w:t>
      </w:r>
    </w:p>
    <w:p>
      <w:pPr>
        <w:spacing w:line="360" w:lineRule="auto"/>
        <w:ind w:firstLine="480"/>
        <w:jc w:val="left"/>
        <w:rPr>
          <w:rFonts w:ascii="宋体" w:hAnsi="宋体" w:eastAsia="宋体" w:cs="宋体"/>
          <w:sz w:val="24"/>
        </w:rPr>
      </w:pPr>
      <w:r>
        <w:rPr>
          <w:rFonts w:ascii="宋体" w:hAnsi="宋体" w:eastAsia="宋体" w:cs="宋体"/>
          <w:sz w:val="24"/>
        </w:rPr>
        <w:t>《信息安全技术 网络基础安全技术要求》(GB/T20270-2006)</w:t>
      </w:r>
    </w:p>
    <w:p>
      <w:pPr>
        <w:spacing w:line="360" w:lineRule="auto"/>
        <w:ind w:firstLine="480"/>
        <w:jc w:val="left"/>
        <w:rPr>
          <w:rFonts w:ascii="宋体" w:hAnsi="宋体" w:eastAsia="宋体" w:cs="宋体"/>
          <w:sz w:val="24"/>
        </w:rPr>
      </w:pPr>
      <w:r>
        <w:rPr>
          <w:rFonts w:ascii="宋体" w:hAnsi="宋体" w:eastAsia="宋体" w:cs="宋体"/>
          <w:sz w:val="24"/>
        </w:rPr>
        <w:t>《信息安全技术 操作系统安全技术要求》(GB/T20272-2006)</w:t>
      </w:r>
    </w:p>
    <w:p>
      <w:pPr>
        <w:spacing w:line="360" w:lineRule="auto"/>
        <w:ind w:firstLine="480"/>
        <w:jc w:val="left"/>
        <w:rPr>
          <w:rFonts w:ascii="宋体" w:hAnsi="宋体" w:eastAsia="宋体" w:cs="宋体"/>
          <w:sz w:val="24"/>
        </w:rPr>
      </w:pPr>
      <w:r>
        <w:rPr>
          <w:rFonts w:ascii="宋体" w:hAnsi="宋体" w:eastAsia="宋体" w:cs="宋体"/>
          <w:sz w:val="24"/>
        </w:rPr>
        <w:t>《信息安全技术 数据库管理系统安全技术要求》(GB/T20273-2006)、</w:t>
      </w:r>
    </w:p>
    <w:p>
      <w:pPr>
        <w:spacing w:line="360" w:lineRule="auto"/>
        <w:ind w:firstLine="480"/>
        <w:jc w:val="left"/>
        <w:rPr>
          <w:rFonts w:ascii="宋体" w:hAnsi="宋体" w:eastAsia="宋体" w:cs="宋体"/>
          <w:sz w:val="24"/>
        </w:rPr>
      </w:pPr>
      <w:r>
        <w:rPr>
          <w:rFonts w:ascii="宋体" w:hAnsi="宋体" w:eastAsia="宋体" w:cs="宋体"/>
          <w:sz w:val="24"/>
        </w:rPr>
        <w:t>《信息安全技术 服务器技术要求》</w:t>
      </w:r>
    </w:p>
    <w:p>
      <w:pPr>
        <w:spacing w:line="360" w:lineRule="auto"/>
        <w:ind w:firstLine="480"/>
        <w:jc w:val="left"/>
        <w:rPr>
          <w:rFonts w:ascii="宋体" w:hAnsi="宋体" w:eastAsia="宋体" w:cs="宋体"/>
          <w:sz w:val="24"/>
        </w:rPr>
      </w:pPr>
      <w:r>
        <w:rPr>
          <w:rFonts w:ascii="宋体" w:hAnsi="宋体" w:eastAsia="宋体" w:cs="宋体"/>
          <w:sz w:val="24"/>
        </w:rPr>
        <w:t>《信息安全技术 终端计算机系统安全等级技术要求》(GA/T671-2006)</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信息系统安全管理要求》(GB/T20269-2006)</w:t>
      </w:r>
    </w:p>
    <w:p>
      <w:pPr>
        <w:spacing w:line="360" w:lineRule="auto"/>
        <w:ind w:firstLine="480"/>
        <w:jc w:val="left"/>
        <w:rPr>
          <w:rFonts w:ascii="宋体" w:hAnsi="宋体" w:eastAsia="宋体" w:cs="宋体"/>
          <w:sz w:val="24"/>
        </w:rPr>
      </w:pPr>
      <w:r>
        <w:rPr>
          <w:rFonts w:ascii="宋体" w:hAnsi="宋体" w:eastAsia="宋体" w:cs="宋体"/>
          <w:sz w:val="24"/>
        </w:rPr>
        <w:t>《信息安全技术 信息系统安全工程管理要求》(GB/T20282-2006)</w:t>
      </w:r>
    </w:p>
    <w:p>
      <w:pPr>
        <w:spacing w:line="360" w:lineRule="auto"/>
        <w:ind w:firstLine="480"/>
        <w:jc w:val="left"/>
        <w:rPr>
          <w:rFonts w:ascii="宋体" w:hAnsi="宋体" w:eastAsia="宋体" w:cs="宋体"/>
          <w:sz w:val="24"/>
        </w:rPr>
      </w:pPr>
      <w:r>
        <w:rPr>
          <w:rFonts w:ascii="宋体" w:hAnsi="宋体" w:eastAsia="宋体" w:cs="宋体"/>
          <w:sz w:val="24"/>
        </w:rPr>
        <w:t>《信息技术信息安全管理实用规则》（GB/T 19716-2005 ）</w:t>
      </w:r>
    </w:p>
    <w:p>
      <w:pPr>
        <w:spacing w:line="360" w:lineRule="auto"/>
        <w:ind w:firstLine="480"/>
        <w:jc w:val="left"/>
        <w:rPr>
          <w:rFonts w:ascii="宋体" w:hAnsi="宋体" w:eastAsia="宋体" w:cs="宋体"/>
          <w:sz w:val="24"/>
        </w:rPr>
      </w:pPr>
      <w:r>
        <w:rPr>
          <w:rFonts w:ascii="宋体" w:hAnsi="宋体" w:eastAsia="宋体" w:cs="宋体"/>
          <w:sz w:val="24"/>
        </w:rPr>
        <w:t>《信息技术 安全技术 信息技术安全性评估准则》（GB/T 18336）</w:t>
      </w:r>
    </w:p>
    <w:p>
      <w:pPr>
        <w:spacing w:line="360" w:lineRule="auto"/>
        <w:ind w:firstLine="480"/>
        <w:jc w:val="left"/>
        <w:rPr>
          <w:rFonts w:ascii="宋体" w:hAnsi="宋体" w:eastAsia="宋体" w:cs="宋体"/>
          <w:sz w:val="24"/>
        </w:rPr>
      </w:pPr>
      <w:r>
        <w:rPr>
          <w:rFonts w:ascii="宋体" w:hAnsi="宋体" w:eastAsia="宋体" w:cs="宋体"/>
          <w:sz w:val="24"/>
        </w:rPr>
        <w:t xml:space="preserve">《信息安全技术 信息安全风险评估规范》（GB/T 20984-2007） </w:t>
      </w:r>
    </w:p>
    <w:p>
      <w:pPr>
        <w:keepNext/>
        <w:keepLines/>
        <w:spacing w:before="260" w:after="260" w:line="415" w:lineRule="auto"/>
        <w:ind w:left="794" w:hanging="794"/>
        <w:jc w:val="left"/>
        <w:rPr>
          <w:rFonts w:ascii="宋体" w:hAnsi="宋体" w:eastAsia="宋体" w:cs="宋体"/>
          <w:b/>
          <w:sz w:val="28"/>
        </w:rPr>
      </w:pPr>
      <w:r>
        <w:rPr>
          <w:rFonts w:ascii="宋体" w:hAnsi="宋体" w:eastAsia="宋体" w:cs="宋体"/>
          <w:b/>
          <w:sz w:val="28"/>
        </w:rPr>
        <w:t>5、测评实施原则</w:t>
      </w:r>
    </w:p>
    <w:p>
      <w:pPr>
        <w:spacing w:line="360" w:lineRule="auto"/>
        <w:ind w:firstLine="480"/>
        <w:jc w:val="left"/>
        <w:rPr>
          <w:rFonts w:ascii="宋体" w:hAnsi="宋体" w:eastAsia="宋体" w:cs="宋体"/>
          <w:sz w:val="24"/>
        </w:rPr>
      </w:pPr>
      <w:r>
        <w:rPr>
          <w:rFonts w:ascii="宋体" w:hAnsi="宋体" w:eastAsia="宋体" w:cs="宋体"/>
          <w:sz w:val="24"/>
        </w:rPr>
        <w:t>在项目实施过程中必须满足以下原则：</w:t>
      </w:r>
    </w:p>
    <w:p>
      <w:pPr>
        <w:spacing w:line="360" w:lineRule="auto"/>
        <w:ind w:firstLine="480"/>
        <w:jc w:val="left"/>
        <w:rPr>
          <w:rFonts w:ascii="宋体" w:hAnsi="宋体" w:eastAsia="宋体" w:cs="宋体"/>
          <w:sz w:val="24"/>
        </w:rPr>
      </w:pPr>
      <w:r>
        <w:rPr>
          <w:rFonts w:ascii="宋体" w:hAnsi="宋体" w:eastAsia="宋体" w:cs="宋体"/>
          <w:sz w:val="24"/>
        </w:rPr>
        <w:t>保密原则：对测评的过程数据和结果数据严格保密，未经授权不得泄露给任何单位和个人，不得利用此数据进行任何侵害招标方的行为。</w:t>
      </w:r>
    </w:p>
    <w:p>
      <w:pPr>
        <w:spacing w:line="360" w:lineRule="auto"/>
        <w:ind w:firstLine="480"/>
        <w:jc w:val="left"/>
        <w:rPr>
          <w:rFonts w:ascii="宋体" w:hAnsi="宋体" w:eastAsia="宋体" w:cs="宋体"/>
          <w:sz w:val="24"/>
        </w:rPr>
      </w:pPr>
      <w:r>
        <w:rPr>
          <w:rFonts w:ascii="宋体" w:hAnsi="宋体" w:eastAsia="宋体" w:cs="宋体"/>
          <w:sz w:val="24"/>
        </w:rPr>
        <w:t>标准性原则：测评方案的设计与实施应依据国家信息系统安全等级保护的相关标准进行。</w:t>
      </w:r>
    </w:p>
    <w:p>
      <w:pPr>
        <w:spacing w:line="360" w:lineRule="auto"/>
        <w:ind w:firstLine="480"/>
        <w:jc w:val="left"/>
        <w:rPr>
          <w:rFonts w:ascii="宋体" w:hAnsi="宋体" w:eastAsia="宋体" w:cs="宋体"/>
          <w:sz w:val="24"/>
        </w:rPr>
      </w:pPr>
      <w:r>
        <w:rPr>
          <w:rFonts w:ascii="宋体" w:hAnsi="宋体" w:eastAsia="宋体" w:cs="宋体"/>
          <w:sz w:val="24"/>
        </w:rPr>
        <w:t>规范性原则：供应商的工作中的过程和文档，具有很好的规范性，可以便于项目的跟踪和控制。</w:t>
      </w:r>
    </w:p>
    <w:p>
      <w:pPr>
        <w:spacing w:line="360" w:lineRule="auto"/>
        <w:ind w:firstLine="480"/>
        <w:jc w:val="left"/>
        <w:rPr>
          <w:rFonts w:ascii="宋体" w:hAnsi="宋体" w:eastAsia="宋体" w:cs="宋体"/>
          <w:sz w:val="24"/>
        </w:rPr>
      </w:pPr>
      <w:r>
        <w:rPr>
          <w:rFonts w:ascii="宋体" w:hAnsi="宋体" w:eastAsia="宋体" w:cs="宋体"/>
          <w:sz w:val="24"/>
        </w:rPr>
        <w:t>可控性原则：项目安排工作进度要跟上进度表的安排，保证工作的可控性。</w:t>
      </w:r>
    </w:p>
    <w:p>
      <w:pPr>
        <w:spacing w:line="360" w:lineRule="auto"/>
        <w:ind w:firstLine="480"/>
        <w:jc w:val="left"/>
        <w:rPr>
          <w:rFonts w:ascii="宋体" w:hAnsi="宋体" w:eastAsia="宋体" w:cs="宋体"/>
          <w:sz w:val="24"/>
        </w:rPr>
      </w:pPr>
      <w:r>
        <w:rPr>
          <w:rFonts w:ascii="宋体" w:hAnsi="宋体" w:eastAsia="宋体" w:cs="宋体"/>
          <w:sz w:val="24"/>
        </w:rPr>
        <w:t>最小影响原则：测评工作应尽可能小的影响系统和网络，并在可控范围内；测评工作不能对现有信息系统的正常运行、业务的正常开展产生任何影响。</w:t>
      </w:r>
    </w:p>
    <w:p>
      <w:pPr>
        <w:spacing w:line="360" w:lineRule="auto"/>
        <w:ind w:firstLine="480"/>
        <w:jc w:val="left"/>
        <w:rPr>
          <w:rFonts w:ascii="宋体" w:hAnsi="宋体" w:eastAsia="宋体" w:cs="宋体"/>
          <w:sz w:val="24"/>
        </w:rPr>
      </w:pPr>
      <w:r>
        <w:rPr>
          <w:rFonts w:ascii="宋体" w:hAnsi="宋体" w:eastAsia="宋体" w:cs="宋体"/>
          <w:sz w:val="24"/>
        </w:rPr>
        <w:t>整体性原则：测评的范围和内容应当整体全面，包括国家等级保护相关要求涉及的各个层面。</w:t>
      </w:r>
    </w:p>
    <w:p>
      <w:pPr>
        <w:keepNext/>
        <w:keepLines/>
        <w:spacing w:before="260" w:after="260" w:line="415" w:lineRule="auto"/>
        <w:ind w:left="794" w:hanging="794"/>
        <w:jc w:val="left"/>
        <w:rPr>
          <w:rFonts w:ascii="宋体" w:hAnsi="宋体" w:eastAsia="宋体" w:cs="宋体"/>
          <w:b/>
          <w:sz w:val="28"/>
        </w:rPr>
      </w:pPr>
      <w:r>
        <w:rPr>
          <w:rFonts w:ascii="宋体" w:hAnsi="宋体" w:eastAsia="宋体" w:cs="宋体"/>
          <w:b/>
          <w:sz w:val="28"/>
        </w:rPr>
        <w:t>6、整体要求</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（1）供应商应</w:t>
      </w:r>
      <w:r>
        <w:rPr>
          <w:rFonts w:ascii="宋体" w:hAnsi="宋体" w:eastAsia="宋体" w:cs="宋体"/>
          <w:sz w:val="24"/>
        </w:rPr>
        <w:t>提供</w:t>
      </w:r>
      <w:r>
        <w:rPr>
          <w:rFonts w:ascii="宋体" w:hAnsi="宋体" w:eastAsia="宋体" w:cs="宋体"/>
          <w:color w:val="000000"/>
          <w:sz w:val="24"/>
        </w:rPr>
        <w:t>本次信息系统安全等级保护测评的整体实施方案，包括项目概述、等级保护测评方案、测试过程中需使用测试设备清单、时间安排、阶段性文档提交等。</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（2）供应商应</w:t>
      </w:r>
      <w:r>
        <w:rPr>
          <w:rFonts w:ascii="宋体" w:hAnsi="宋体" w:eastAsia="宋体" w:cs="宋体"/>
          <w:sz w:val="24"/>
        </w:rPr>
        <w:t>提供</w:t>
      </w:r>
      <w:r>
        <w:rPr>
          <w:rFonts w:ascii="宋体" w:hAnsi="宋体" w:eastAsia="宋体" w:cs="宋体"/>
          <w:color w:val="000000"/>
          <w:sz w:val="24"/>
        </w:rPr>
        <w:t>测评人员的组成、资质及各自职责的划分。供应商应配置有测评资质的专业人员进行本次信息安全等级保护测评工作。</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（3）投标人应详细描述测评人员的组成、资质。投标人参与测评人员不少于4人，必须提供</w:t>
      </w:r>
      <w:r>
        <w:rPr>
          <w:rFonts w:hint="eastAsia" w:ascii="宋体" w:hAnsi="宋体" w:eastAsia="宋体" w:cs="宋体"/>
          <w:color w:val="000000"/>
          <w:sz w:val="24"/>
        </w:rPr>
        <w:t>至少一名</w:t>
      </w:r>
      <w:r>
        <w:rPr>
          <w:rFonts w:ascii="宋体" w:hAnsi="宋体" w:eastAsia="宋体" w:cs="宋体"/>
          <w:color w:val="000000"/>
          <w:sz w:val="24"/>
        </w:rPr>
        <w:t>高级测师资质证明或CISP证书种类涵盖CISO、CISE和CISP-PTE等。</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（4）本次信息系统安全等级保护测评实施过程中所使用到的各种工具软件应符合国家相关要求，经招标人确认后由供应商提供并在信息系统等级保护测评中使用。</w:t>
      </w:r>
    </w:p>
    <w:p>
      <w:pPr>
        <w:spacing w:line="360" w:lineRule="auto"/>
        <w:ind w:firstLine="480"/>
        <w:jc w:val="left"/>
        <w:rPr>
          <w:rFonts w:ascii="宋体" w:hAnsi="宋体" w:eastAsia="宋体" w:cs="宋体"/>
          <w:color w:val="000000"/>
          <w:sz w:val="24"/>
        </w:rPr>
      </w:pPr>
      <w:r>
        <w:rPr>
          <w:rFonts w:ascii="宋体" w:hAnsi="宋体" w:eastAsia="宋体" w:cs="宋体"/>
          <w:color w:val="000000"/>
          <w:sz w:val="24"/>
        </w:rPr>
        <w:t>（5）信息系统安全等级保护测评需要的运行环境（如场地、网络环境等）由招标人提供，供应商应详细描述需要的运行环境的具体要求。</w:t>
      </w:r>
    </w:p>
    <w:p>
      <w:pPr>
        <w:keepNext/>
        <w:keepLines/>
        <w:spacing w:before="260" w:after="260" w:line="415" w:lineRule="auto"/>
        <w:ind w:left="794" w:hanging="794"/>
        <w:jc w:val="left"/>
        <w:rPr>
          <w:rFonts w:ascii="宋体" w:hAnsi="宋体" w:eastAsia="宋体" w:cs="宋体"/>
          <w:b/>
          <w:sz w:val="28"/>
        </w:rPr>
      </w:pPr>
      <w:r>
        <w:rPr>
          <w:rFonts w:ascii="宋体" w:hAnsi="宋体" w:eastAsia="宋体" w:cs="宋体"/>
          <w:b/>
          <w:sz w:val="28"/>
        </w:rPr>
        <w:t>7、专用工具要求</w:t>
      </w:r>
    </w:p>
    <w:p>
      <w:pPr>
        <w:spacing w:line="360" w:lineRule="auto"/>
        <w:ind w:firstLine="480"/>
        <w:jc w:val="left"/>
        <w:rPr>
          <w:rFonts w:ascii="宋体" w:hAnsi="宋体" w:eastAsia="宋体" w:cs="宋体"/>
          <w:sz w:val="24"/>
        </w:rPr>
      </w:pPr>
      <w:r>
        <w:rPr>
          <w:rFonts w:ascii="宋体" w:hAnsi="宋体" w:eastAsia="宋体" w:cs="宋体"/>
          <w:sz w:val="24"/>
        </w:rPr>
        <w:t>本项目涉及工程实施和验收测试所需的工具，由供应商负责提供。用于测评的工具主要包括服务器安全测评工具、网络设备安全测评工具、终端计算机安全测评工具、网站等应用系统安全测评工具等。在使用前，应对工具进行测评，如果需要则对工具进行软件或代码升级。</w:t>
      </w:r>
    </w:p>
    <w:p>
      <w:pPr>
        <w:keepNext/>
        <w:keepLines/>
        <w:spacing w:before="260" w:after="260" w:line="415" w:lineRule="auto"/>
        <w:ind w:left="794" w:hanging="794"/>
        <w:jc w:val="left"/>
        <w:rPr>
          <w:rFonts w:ascii="宋体" w:hAnsi="宋体" w:eastAsia="宋体" w:cs="宋体"/>
          <w:b/>
          <w:sz w:val="28"/>
        </w:rPr>
      </w:pPr>
      <w:r>
        <w:rPr>
          <w:rFonts w:ascii="宋体" w:hAnsi="宋体" w:eastAsia="宋体" w:cs="宋体"/>
          <w:b/>
          <w:sz w:val="28"/>
        </w:rPr>
        <w:t>8、安全管理要求</w:t>
      </w:r>
    </w:p>
    <w:p>
      <w:pPr>
        <w:spacing w:line="360" w:lineRule="auto"/>
        <w:ind w:firstLine="480"/>
        <w:jc w:val="left"/>
        <w:rPr>
          <w:rFonts w:ascii="宋体" w:hAnsi="宋体" w:eastAsia="宋体" w:cs="宋体"/>
          <w:sz w:val="24"/>
        </w:rPr>
      </w:pPr>
      <w:r>
        <w:rPr>
          <w:rFonts w:ascii="宋体" w:hAnsi="宋体" w:eastAsia="宋体" w:cs="宋体"/>
          <w:sz w:val="24"/>
        </w:rPr>
        <w:t>为做好全过程的安全保密工作，在等级保护测评前、中、后三个阶段都要做好安全保密工作。</w:t>
      </w:r>
    </w:p>
    <w:p>
      <w:pPr>
        <w:spacing w:line="360" w:lineRule="auto"/>
        <w:jc w:val="left"/>
        <w:rPr>
          <w:rFonts w:ascii="宋体" w:hAnsi="宋体" w:eastAsia="宋体" w:cs="宋体"/>
          <w:sz w:val="24"/>
        </w:rPr>
      </w:pPr>
      <w:r>
        <w:rPr>
          <w:rFonts w:ascii="宋体" w:hAnsi="宋体" w:eastAsia="宋体" w:cs="宋体"/>
          <w:sz w:val="24"/>
        </w:rPr>
        <w:t>(1)等级保护测评前</w:t>
      </w:r>
    </w:p>
    <w:p>
      <w:pPr>
        <w:spacing w:line="360" w:lineRule="auto"/>
        <w:ind w:firstLine="480"/>
        <w:jc w:val="left"/>
        <w:rPr>
          <w:rFonts w:ascii="宋体" w:hAnsi="宋体" w:eastAsia="宋体" w:cs="宋体"/>
          <w:sz w:val="24"/>
        </w:rPr>
      </w:pPr>
      <w:r>
        <w:rPr>
          <w:rFonts w:ascii="宋体" w:hAnsi="宋体" w:eastAsia="宋体" w:cs="宋体"/>
          <w:sz w:val="24"/>
        </w:rPr>
        <w:t>1）对等级保护测评人员要进行安全保密教育，制定安全保密措施；</w:t>
      </w:r>
    </w:p>
    <w:p>
      <w:pPr>
        <w:spacing w:line="360" w:lineRule="auto"/>
        <w:ind w:firstLine="480"/>
        <w:jc w:val="left"/>
        <w:rPr>
          <w:rFonts w:ascii="宋体" w:hAnsi="宋体" w:eastAsia="宋体" w:cs="宋体"/>
          <w:sz w:val="24"/>
        </w:rPr>
      </w:pPr>
      <w:r>
        <w:rPr>
          <w:rFonts w:ascii="宋体" w:hAnsi="宋体" w:eastAsia="宋体" w:cs="宋体"/>
          <w:sz w:val="24"/>
        </w:rPr>
        <w:t>2）签订安全保密协议。</w:t>
      </w:r>
    </w:p>
    <w:p>
      <w:pPr>
        <w:spacing w:line="360" w:lineRule="auto"/>
        <w:jc w:val="left"/>
        <w:rPr>
          <w:rFonts w:ascii="宋体" w:hAnsi="宋体" w:eastAsia="宋体" w:cs="宋体"/>
          <w:sz w:val="24"/>
        </w:rPr>
      </w:pPr>
      <w:r>
        <w:rPr>
          <w:rFonts w:ascii="宋体" w:hAnsi="宋体" w:eastAsia="宋体" w:cs="宋体"/>
          <w:sz w:val="24"/>
        </w:rPr>
        <w:t>(2)等级保护测评中</w:t>
      </w:r>
    </w:p>
    <w:p>
      <w:pPr>
        <w:spacing w:line="360" w:lineRule="auto"/>
        <w:ind w:firstLine="480"/>
        <w:jc w:val="left"/>
        <w:rPr>
          <w:rFonts w:ascii="宋体" w:hAnsi="宋体" w:eastAsia="宋体" w:cs="宋体"/>
          <w:sz w:val="24"/>
        </w:rPr>
      </w:pPr>
      <w:r>
        <w:rPr>
          <w:rFonts w:ascii="宋体" w:hAnsi="宋体" w:eastAsia="宋体" w:cs="宋体"/>
          <w:sz w:val="24"/>
        </w:rPr>
        <w:t>1）对被测单位的性质、机房物理位置、网络与系统、应用与服务、资料与数据、人员与管理等方面的信息进行严格的安全保密管理；</w:t>
      </w:r>
    </w:p>
    <w:p>
      <w:pPr>
        <w:spacing w:line="360" w:lineRule="auto"/>
        <w:ind w:firstLine="480"/>
        <w:jc w:val="left"/>
        <w:rPr>
          <w:rFonts w:ascii="宋体" w:hAnsi="宋体" w:eastAsia="宋体" w:cs="宋体"/>
          <w:sz w:val="24"/>
        </w:rPr>
      </w:pPr>
      <w:r>
        <w:rPr>
          <w:rFonts w:ascii="宋体" w:hAnsi="宋体" w:eastAsia="宋体" w:cs="宋体"/>
          <w:sz w:val="24"/>
        </w:rPr>
        <w:t>2）等级保护测评工具应经过严格测试和检验，确保不对被测评系统造成损失，工作结束后不驻留任何程序；</w:t>
      </w:r>
    </w:p>
    <w:p>
      <w:pPr>
        <w:spacing w:line="360" w:lineRule="auto"/>
        <w:ind w:firstLine="480"/>
        <w:jc w:val="left"/>
        <w:rPr>
          <w:rFonts w:ascii="宋体" w:hAnsi="宋体" w:eastAsia="宋体" w:cs="宋体"/>
          <w:sz w:val="24"/>
        </w:rPr>
      </w:pPr>
      <w:r>
        <w:rPr>
          <w:rFonts w:ascii="宋体" w:hAnsi="宋体" w:eastAsia="宋体" w:cs="宋体"/>
          <w:sz w:val="24"/>
        </w:rPr>
        <w:t>3）对被测单位信息系统的信息资产、发现的脆弱性和发生过的安全事件等威胁情况要控制知情范围；</w:t>
      </w:r>
    </w:p>
    <w:p>
      <w:pPr>
        <w:spacing w:line="360" w:lineRule="auto"/>
        <w:ind w:firstLine="480"/>
        <w:jc w:val="left"/>
        <w:rPr>
          <w:rFonts w:ascii="宋体" w:hAnsi="宋体" w:eastAsia="宋体" w:cs="宋体"/>
          <w:sz w:val="24"/>
        </w:rPr>
      </w:pPr>
      <w:r>
        <w:rPr>
          <w:rFonts w:ascii="宋体" w:hAnsi="宋体" w:eastAsia="宋体" w:cs="宋体"/>
          <w:sz w:val="24"/>
        </w:rPr>
        <w:t>4）对测评设备、介质进行严格的保密管理；</w:t>
      </w:r>
    </w:p>
    <w:p>
      <w:pPr>
        <w:spacing w:line="360" w:lineRule="auto"/>
        <w:ind w:firstLine="480"/>
        <w:jc w:val="left"/>
        <w:rPr>
          <w:rFonts w:ascii="宋体" w:hAnsi="宋体" w:eastAsia="宋体" w:cs="宋体"/>
          <w:sz w:val="24"/>
        </w:rPr>
      </w:pPr>
      <w:r>
        <w:rPr>
          <w:rFonts w:ascii="宋体" w:hAnsi="宋体" w:eastAsia="宋体" w:cs="宋体"/>
          <w:sz w:val="24"/>
        </w:rPr>
        <w:t>5）工作过程中对人员要实施封闭式集中管理；</w:t>
      </w:r>
    </w:p>
    <w:p>
      <w:pPr>
        <w:spacing w:line="360" w:lineRule="auto"/>
        <w:ind w:firstLine="480"/>
        <w:jc w:val="left"/>
        <w:rPr>
          <w:rFonts w:ascii="宋体" w:hAnsi="宋体" w:eastAsia="宋体" w:cs="宋体"/>
          <w:sz w:val="24"/>
        </w:rPr>
      </w:pPr>
      <w:r>
        <w:rPr>
          <w:rFonts w:ascii="宋体" w:hAnsi="宋体" w:eastAsia="宋体" w:cs="宋体"/>
          <w:sz w:val="24"/>
        </w:rPr>
        <w:t>6）对进场人员遵守被测单位的相关管理规定。</w:t>
      </w:r>
    </w:p>
    <w:p>
      <w:pPr>
        <w:spacing w:line="360" w:lineRule="auto"/>
        <w:jc w:val="left"/>
        <w:rPr>
          <w:rFonts w:ascii="宋体" w:hAnsi="宋体" w:eastAsia="宋体" w:cs="宋体"/>
          <w:sz w:val="24"/>
        </w:rPr>
      </w:pPr>
      <w:r>
        <w:rPr>
          <w:rFonts w:ascii="宋体" w:hAnsi="宋体" w:eastAsia="宋体" w:cs="宋体"/>
          <w:sz w:val="24"/>
        </w:rPr>
        <w:t>(3)等级保护测评后</w:t>
      </w:r>
    </w:p>
    <w:p>
      <w:pPr>
        <w:spacing w:line="360" w:lineRule="auto"/>
        <w:ind w:firstLine="480"/>
        <w:jc w:val="left"/>
        <w:rPr>
          <w:rFonts w:ascii="宋体" w:hAnsi="宋体" w:eastAsia="宋体" w:cs="宋体"/>
          <w:sz w:val="24"/>
        </w:rPr>
      </w:pPr>
      <w:r>
        <w:rPr>
          <w:rFonts w:ascii="宋体" w:hAnsi="宋体" w:eastAsia="宋体" w:cs="宋体"/>
          <w:sz w:val="24"/>
        </w:rPr>
        <w:t>1）认真清退各种文档、资料和数据并予以销毁，确保工作过程中敏感数据不被泄漏；</w:t>
      </w:r>
    </w:p>
    <w:p>
      <w:pPr>
        <w:spacing w:line="360" w:lineRule="auto"/>
        <w:ind w:firstLine="480"/>
        <w:jc w:val="left"/>
        <w:rPr>
          <w:rFonts w:ascii="宋体" w:hAnsi="宋体" w:eastAsia="宋体" w:cs="宋体"/>
          <w:sz w:val="24"/>
        </w:rPr>
      </w:pPr>
      <w:r>
        <w:rPr>
          <w:rFonts w:ascii="宋体" w:hAnsi="宋体" w:eastAsia="宋体" w:cs="宋体"/>
          <w:sz w:val="24"/>
        </w:rPr>
        <w:t>2）现场工作结束后，按被测单位的要求及时还原系统，确保系统中不遗留任何代码或可执行程序；</w:t>
      </w:r>
    </w:p>
    <w:p>
      <w:pPr>
        <w:spacing w:line="360" w:lineRule="auto"/>
        <w:ind w:firstLine="480"/>
        <w:jc w:val="left"/>
        <w:rPr>
          <w:rFonts w:ascii="宋体" w:hAnsi="宋体" w:eastAsia="宋体" w:cs="宋体"/>
          <w:sz w:val="24"/>
        </w:rPr>
      </w:pPr>
      <w:r>
        <w:rPr>
          <w:rFonts w:ascii="宋体" w:hAnsi="宋体" w:eastAsia="宋体" w:cs="宋体"/>
          <w:sz w:val="24"/>
        </w:rPr>
        <w:t>3）在其他风险测评任务或宣传材料中不涉及被测单位的秘密、敏感情况。</w:t>
      </w:r>
    </w:p>
    <w:p>
      <w:pPr>
        <w:keepNext/>
        <w:keepLines/>
        <w:spacing w:before="120" w:line="360" w:lineRule="auto"/>
        <w:rPr>
          <w:rFonts w:ascii="宋体" w:hAnsi="宋体" w:eastAsia="宋体" w:cs="宋体"/>
          <w:b/>
          <w:sz w:val="28"/>
        </w:rPr>
      </w:pPr>
      <w:r>
        <w:rPr>
          <w:rFonts w:ascii="宋体" w:hAnsi="宋体" w:eastAsia="宋体" w:cs="宋体"/>
          <w:b/>
          <w:sz w:val="28"/>
        </w:rPr>
        <w:t>9、文档要求</w:t>
      </w:r>
    </w:p>
    <w:p>
      <w:pPr>
        <w:spacing w:line="360" w:lineRule="auto"/>
        <w:ind w:firstLine="480"/>
        <w:jc w:val="left"/>
        <w:rPr>
          <w:rFonts w:ascii="宋体" w:hAnsi="宋体" w:eastAsia="宋体" w:cs="宋体"/>
          <w:sz w:val="24"/>
        </w:rPr>
      </w:pPr>
      <w:r>
        <w:rPr>
          <w:rFonts w:ascii="宋体" w:hAnsi="宋体" w:eastAsia="宋体" w:cs="宋体"/>
          <w:sz w:val="24"/>
        </w:rPr>
        <w:t>文档或报告的编写应完整清晰、用词规范、简明扼要，指出的问题应明确合理、符合逻辑、且有证据，出具的结论应公正客观、实事求是，提出的建议应符合国家标准规范、富有建设性和可操作性。</w:t>
      </w:r>
    </w:p>
    <w:p>
      <w:pPr>
        <w:keepNext/>
        <w:keepLines/>
        <w:spacing w:before="120" w:line="360" w:lineRule="auto"/>
        <w:rPr>
          <w:rFonts w:ascii="宋体" w:hAnsi="宋体" w:eastAsia="宋体" w:cs="宋体"/>
          <w:b/>
          <w:sz w:val="28"/>
        </w:rPr>
      </w:pPr>
      <w:r>
        <w:rPr>
          <w:rFonts w:ascii="宋体" w:hAnsi="宋体" w:eastAsia="宋体" w:cs="宋体"/>
          <w:b/>
          <w:sz w:val="28"/>
        </w:rPr>
        <w:t>10、技术支持</w:t>
      </w:r>
    </w:p>
    <w:p>
      <w:pPr>
        <w:spacing w:line="360" w:lineRule="auto"/>
        <w:ind w:firstLine="480"/>
        <w:jc w:val="left"/>
        <w:rPr>
          <w:rFonts w:ascii="宋体" w:hAnsi="宋体" w:eastAsia="宋体" w:cs="宋体"/>
          <w:sz w:val="24"/>
        </w:rPr>
      </w:pPr>
      <w:r>
        <w:rPr>
          <w:rFonts w:ascii="宋体" w:hAnsi="宋体" w:eastAsia="宋体" w:cs="宋体"/>
          <w:sz w:val="24"/>
        </w:rPr>
        <w:t>供应商应提供机构背景材料、等级保护测评专业资质及其他认为可以体现技术能力的资质。供应商应提供测评成员的技术背景资历资料、从事测评的经验、人力资源的组织方式、项目实施的管理方式、项目成员的角色和责任。</w:t>
      </w:r>
    </w:p>
    <w:p>
      <w:pPr>
        <w:keepNext/>
        <w:keepLines/>
        <w:spacing w:before="120" w:line="360" w:lineRule="auto"/>
        <w:rPr>
          <w:rFonts w:ascii="宋体" w:hAnsi="宋体" w:eastAsia="宋体" w:cs="宋体"/>
          <w:b/>
          <w:sz w:val="28"/>
        </w:rPr>
      </w:pPr>
      <w:r>
        <w:rPr>
          <w:rFonts w:ascii="宋体" w:hAnsi="宋体" w:eastAsia="宋体" w:cs="宋体"/>
          <w:b/>
          <w:sz w:val="28"/>
        </w:rPr>
        <w:t>11、售后服务</w:t>
      </w:r>
    </w:p>
    <w:p>
      <w:pPr>
        <w:spacing w:line="440" w:lineRule="auto"/>
        <w:ind w:firstLine="480"/>
        <w:jc w:val="left"/>
        <w:rPr>
          <w:rFonts w:ascii="宋体" w:hAnsi="宋体" w:eastAsia="宋体" w:cs="宋体"/>
          <w:sz w:val="24"/>
        </w:rPr>
      </w:pPr>
      <w:r>
        <w:rPr>
          <w:rFonts w:ascii="宋体" w:hAnsi="宋体" w:eastAsia="宋体" w:cs="宋体"/>
          <w:sz w:val="24"/>
        </w:rPr>
        <w:t>1）供应商在湖北省内设有售后服务机构，可提供7*24热线电话，提供技术支持，如解决不了，技术人员需在接到电话后4个小时内赶到现场。</w:t>
      </w:r>
    </w:p>
    <w:p>
      <w:pPr>
        <w:spacing w:line="360" w:lineRule="auto"/>
        <w:ind w:firstLine="480"/>
        <w:jc w:val="left"/>
        <w:rPr>
          <w:rFonts w:ascii="宋体" w:hAnsi="宋体" w:eastAsia="宋体" w:cs="宋体"/>
          <w:sz w:val="24"/>
        </w:rPr>
      </w:pPr>
      <w:r>
        <w:rPr>
          <w:rFonts w:ascii="宋体" w:hAnsi="宋体" w:eastAsia="宋体" w:cs="宋体"/>
          <w:sz w:val="24"/>
        </w:rPr>
        <w:t>2）供应商承诺能按要求实现本技术规范规定的所有条款及功能要求，配合完成相关政府部门的信息安全等级保护相关（登记、整改等）工作要求。</w:t>
      </w:r>
    </w:p>
    <w:p>
      <w:pPr>
        <w:keepNext/>
        <w:keepLines/>
        <w:spacing w:before="260" w:after="260" w:line="415" w:lineRule="auto"/>
        <w:ind w:left="794" w:hanging="794"/>
        <w:jc w:val="left"/>
        <w:rPr>
          <w:rFonts w:ascii="宋体" w:hAnsi="宋体" w:eastAsia="宋体" w:cs="宋体"/>
          <w:b/>
          <w:sz w:val="28"/>
        </w:rPr>
      </w:pPr>
      <w:r>
        <w:rPr>
          <w:rFonts w:ascii="宋体" w:hAnsi="宋体" w:eastAsia="宋体" w:cs="宋体"/>
          <w:b/>
          <w:sz w:val="28"/>
        </w:rPr>
        <w:t>12、项目实施内容与要求</w:t>
      </w:r>
    </w:p>
    <w:p>
      <w:pPr>
        <w:tabs>
          <w:tab w:val="left" w:pos="634"/>
        </w:tabs>
        <w:spacing w:line="360" w:lineRule="auto"/>
        <w:ind w:firstLine="420"/>
        <w:rPr>
          <w:rFonts w:ascii="宋体" w:hAnsi="宋体" w:eastAsia="宋体" w:cs="宋体"/>
          <w:b/>
          <w:sz w:val="24"/>
        </w:rPr>
      </w:pPr>
      <w:r>
        <w:rPr>
          <w:rFonts w:ascii="宋体" w:hAnsi="宋体" w:eastAsia="宋体" w:cs="宋体"/>
          <w:b/>
          <w:sz w:val="24"/>
        </w:rPr>
        <w:t>12.1、项目定级备案</w:t>
      </w:r>
    </w:p>
    <w:p>
      <w:pPr>
        <w:spacing w:line="360" w:lineRule="auto"/>
        <w:ind w:firstLine="480"/>
        <w:rPr>
          <w:rFonts w:ascii="宋体" w:hAnsi="宋体" w:eastAsia="宋体" w:cs="宋体"/>
          <w:sz w:val="24"/>
        </w:rPr>
      </w:pPr>
      <w:r>
        <w:rPr>
          <w:rFonts w:ascii="宋体" w:hAnsi="宋体" w:eastAsia="宋体" w:cs="宋体"/>
          <w:sz w:val="24"/>
        </w:rPr>
        <w:t>投标方应梳理现有的信息系</w:t>
      </w:r>
      <w:r>
        <w:rPr>
          <w:rFonts w:ascii="宋体" w:hAnsi="宋体" w:eastAsia="宋体" w:cs="宋体"/>
          <w:spacing w:val="2"/>
          <w:sz w:val="24"/>
        </w:rPr>
        <w:t>统，严格按照《GB/T 22240-2020信息安全技术 网络安全等级保护定级指南》的要求，对信息系统的级别进行划定。完成信息系统定级报告及定级材料的准备、整理，完成信息系统去公安机关的备</w:t>
      </w:r>
      <w:r>
        <w:rPr>
          <w:rFonts w:ascii="宋体" w:hAnsi="宋体" w:eastAsia="宋体" w:cs="宋体"/>
          <w:sz w:val="24"/>
        </w:rPr>
        <w:t>案工作。</w:t>
      </w:r>
    </w:p>
    <w:p>
      <w:pPr>
        <w:tabs>
          <w:tab w:val="left" w:pos="634"/>
        </w:tabs>
        <w:spacing w:line="360" w:lineRule="auto"/>
        <w:rPr>
          <w:rFonts w:ascii="宋体" w:hAnsi="宋体" w:eastAsia="宋体" w:cs="宋体"/>
          <w:b/>
          <w:sz w:val="24"/>
        </w:rPr>
      </w:pPr>
    </w:p>
    <w:p>
      <w:pPr>
        <w:tabs>
          <w:tab w:val="left" w:pos="634"/>
        </w:tabs>
        <w:spacing w:line="360" w:lineRule="auto"/>
        <w:rPr>
          <w:rFonts w:ascii="宋体" w:hAnsi="宋体" w:eastAsia="宋体" w:cs="宋体"/>
          <w:b/>
          <w:sz w:val="28"/>
        </w:rPr>
      </w:pPr>
      <w:r>
        <w:rPr>
          <w:rFonts w:ascii="宋体" w:hAnsi="宋体" w:eastAsia="宋体" w:cs="宋体"/>
          <w:b/>
          <w:sz w:val="28"/>
        </w:rPr>
        <w:t>12.2、项目测评内容</w:t>
      </w:r>
    </w:p>
    <w:p>
      <w:pPr>
        <w:spacing w:line="360" w:lineRule="auto"/>
        <w:ind w:firstLine="420"/>
        <w:rPr>
          <w:rFonts w:ascii="宋体" w:hAnsi="宋体" w:eastAsia="宋体" w:cs="宋体"/>
          <w:sz w:val="24"/>
        </w:rPr>
      </w:pPr>
      <w:r>
        <w:rPr>
          <w:rFonts w:ascii="宋体" w:hAnsi="宋体" w:eastAsia="宋体" w:cs="宋体"/>
          <w:sz w:val="24"/>
        </w:rPr>
        <w:t>根据国家等级保护相关标准《GBT22239-2019 网络安全等级保护基本要求》，对重要信息系统等级保护测评项目应包括以下内容：</w:t>
      </w:r>
    </w:p>
    <w:p>
      <w:pPr>
        <w:spacing w:before="34" w:line="360" w:lineRule="auto"/>
        <w:ind w:left="149" w:right="147" w:firstLine="479"/>
        <w:rPr>
          <w:rFonts w:ascii="宋体" w:hAnsi="宋体" w:eastAsia="宋体" w:cs="宋体"/>
          <w:sz w:val="24"/>
        </w:rPr>
      </w:pPr>
      <w:r>
        <w:rPr>
          <w:rFonts w:ascii="宋体" w:hAnsi="宋体" w:eastAsia="宋体" w:cs="宋体"/>
          <w:sz w:val="24"/>
        </w:rPr>
        <w:t>安全技术测评：包括安全物理环境、安全通信网络、安全区域边界、安全计算环境、安全管理中心等五个方面的安全测评；</w:t>
      </w:r>
    </w:p>
    <w:p>
      <w:pPr>
        <w:spacing w:before="34" w:line="360" w:lineRule="auto"/>
        <w:ind w:left="149" w:right="147" w:firstLine="479"/>
        <w:rPr>
          <w:rFonts w:ascii="宋体" w:hAnsi="宋体" w:eastAsia="宋体" w:cs="宋体"/>
          <w:sz w:val="24"/>
        </w:rPr>
      </w:pPr>
      <w:r>
        <w:rPr>
          <w:rFonts w:ascii="宋体" w:hAnsi="宋体" w:eastAsia="宋体" w:cs="宋体"/>
          <w:sz w:val="24"/>
        </w:rPr>
        <w:t>安全管理测评：包括安全管理制度、安全管理机构、安全管理人员、安全建设管理、安全运维管理等五个方面的安全测评。</w:t>
      </w:r>
    </w:p>
    <w:p>
      <w:pPr>
        <w:spacing w:before="34" w:line="360" w:lineRule="auto"/>
        <w:ind w:left="149" w:right="147" w:firstLine="479"/>
        <w:rPr>
          <w:rFonts w:ascii="宋体" w:hAnsi="宋体" w:eastAsia="宋体" w:cs="宋体"/>
          <w:sz w:val="24"/>
        </w:rPr>
      </w:pPr>
      <w:r>
        <w:rPr>
          <w:rFonts w:ascii="宋体" w:hAnsi="宋体" w:eastAsia="宋体" w:cs="宋体"/>
          <w:sz w:val="24"/>
        </w:rPr>
        <w:t>服务内容：</w:t>
      </w:r>
    </w:p>
    <w:p>
      <w:pPr>
        <w:numPr>
          <w:ilvl w:val="0"/>
          <w:numId w:val="3"/>
        </w:numPr>
        <w:tabs>
          <w:tab w:val="left" w:pos="989"/>
          <w:tab w:val="left" w:pos="990"/>
        </w:tabs>
        <w:spacing w:line="360" w:lineRule="auto"/>
        <w:ind w:firstLine="480"/>
        <w:rPr>
          <w:rFonts w:ascii="宋体" w:hAnsi="宋体" w:eastAsia="宋体" w:cs="宋体"/>
          <w:sz w:val="24"/>
        </w:rPr>
      </w:pPr>
      <w:r>
        <w:rPr>
          <w:rFonts w:ascii="宋体" w:hAnsi="宋体" w:eastAsia="宋体" w:cs="宋体"/>
          <w:sz w:val="24"/>
        </w:rPr>
        <w:t>协助开展系统和重要信息系统的自查自评估工作，对存在的风险隐患和安全问题及时提供有针对性的安全整改建议，保障整改措施的落实，完成重要信息系统的定级、备案等相关工作；</w:t>
      </w:r>
    </w:p>
    <w:p>
      <w:pPr>
        <w:numPr>
          <w:ilvl w:val="0"/>
          <w:numId w:val="3"/>
        </w:numPr>
        <w:tabs>
          <w:tab w:val="left" w:pos="989"/>
          <w:tab w:val="left" w:pos="990"/>
        </w:tabs>
        <w:spacing w:line="360" w:lineRule="auto"/>
        <w:ind w:firstLine="480"/>
        <w:rPr>
          <w:rFonts w:ascii="宋体" w:hAnsi="宋体" w:eastAsia="宋体" w:cs="宋体"/>
          <w:sz w:val="24"/>
        </w:rPr>
      </w:pPr>
      <w:r>
        <w:rPr>
          <w:rFonts w:ascii="宋体" w:hAnsi="宋体" w:eastAsia="宋体" w:cs="宋体"/>
          <w:sz w:val="24"/>
        </w:rPr>
        <w:t>依据《网络安全等级保护基本要求》，从安全技术和管理两个方面共十个层面对信息系统进行等级测评，出具等级测评报告；</w:t>
      </w:r>
    </w:p>
    <w:p>
      <w:pPr>
        <w:numPr>
          <w:ilvl w:val="0"/>
          <w:numId w:val="3"/>
        </w:numPr>
        <w:tabs>
          <w:tab w:val="left" w:pos="989"/>
          <w:tab w:val="left" w:pos="990"/>
        </w:tabs>
        <w:spacing w:line="360" w:lineRule="auto"/>
        <w:ind w:firstLine="480"/>
        <w:rPr>
          <w:rFonts w:ascii="宋体" w:hAnsi="宋体" w:eastAsia="宋体" w:cs="宋体"/>
          <w:sz w:val="24"/>
        </w:rPr>
      </w:pPr>
      <w:r>
        <w:rPr>
          <w:rFonts w:ascii="宋体" w:hAnsi="宋体" w:eastAsia="宋体" w:cs="宋体"/>
          <w:sz w:val="24"/>
        </w:rPr>
        <w:t>针对信息系统等保测评实施过程中发现的安全隐患和薄弱环节，提供安全建设整改和安全加固方面的咨询。</w:t>
      </w:r>
    </w:p>
    <w:p>
      <w:pPr>
        <w:numPr>
          <w:ilvl w:val="0"/>
          <w:numId w:val="3"/>
        </w:numPr>
        <w:tabs>
          <w:tab w:val="left" w:pos="989"/>
          <w:tab w:val="left" w:pos="990"/>
        </w:tabs>
        <w:spacing w:line="360" w:lineRule="auto"/>
        <w:ind w:firstLine="480"/>
        <w:rPr>
          <w:rFonts w:ascii="宋体" w:hAnsi="宋体" w:eastAsia="宋体" w:cs="宋体"/>
          <w:sz w:val="24"/>
        </w:rPr>
      </w:pPr>
      <w:r>
        <w:rPr>
          <w:rFonts w:ascii="宋体" w:hAnsi="宋体" w:eastAsia="宋体" w:cs="宋体"/>
          <w:sz w:val="24"/>
        </w:rPr>
        <w:t>提供安全服务，及时发现信息系统中存在安全隐患和威胁，进一步开展安全建设整改工作，及时、有效、正确的预防和阻止各种黑客攻击。职责清晰，能快速及时的帮助客户处理网站安全事件。</w:t>
      </w:r>
    </w:p>
    <w:tbl>
      <w:tblPr>
        <w:tblStyle w:val="22"/>
        <w:tblW w:w="0" w:type="auto"/>
        <w:jc w:val="center"/>
        <w:tblLayout w:type="autofit"/>
        <w:tblCellMar>
          <w:top w:w="0" w:type="dxa"/>
          <w:left w:w="10" w:type="dxa"/>
          <w:bottom w:w="0" w:type="dxa"/>
          <w:right w:w="10" w:type="dxa"/>
        </w:tblCellMar>
      </w:tblPr>
      <w:tblGrid>
        <w:gridCol w:w="1284"/>
        <w:gridCol w:w="2460"/>
        <w:gridCol w:w="4778"/>
      </w:tblGrid>
      <w:tr>
        <w:tblPrEx>
          <w:tblCellMar>
            <w:top w:w="0" w:type="dxa"/>
            <w:left w:w="10" w:type="dxa"/>
            <w:bottom w:w="0" w:type="dxa"/>
            <w:right w:w="10" w:type="dxa"/>
          </w:tblCellMar>
        </w:tblPrEx>
        <w:trPr>
          <w:jc w:val="center"/>
        </w:trPr>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b/>
                <w:sz w:val="24"/>
              </w:rPr>
              <w:t>项目</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b/>
                <w:sz w:val="24"/>
              </w:rPr>
              <w:t>服务内容</w:t>
            </w:r>
          </w:p>
        </w:tc>
        <w:tc>
          <w:tcPr>
            <w:tcW w:w="47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b/>
                <w:sz w:val="24"/>
              </w:rPr>
              <w:t>工作描述</w:t>
            </w:r>
          </w:p>
        </w:tc>
      </w:tr>
      <w:tr>
        <w:tblPrEx>
          <w:tblCellMar>
            <w:top w:w="0" w:type="dxa"/>
            <w:left w:w="10" w:type="dxa"/>
            <w:bottom w:w="0" w:type="dxa"/>
            <w:right w:w="10" w:type="dxa"/>
          </w:tblCellMar>
        </w:tblPrEx>
        <w:trPr>
          <w:jc w:val="center"/>
        </w:trPr>
        <w:tc>
          <w:tcPr>
            <w:tcW w:w="128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等级测评</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default" w:ascii="宋体" w:hAnsi="宋体" w:eastAsia="宋体" w:cs="宋体"/>
                <w:sz w:val="24"/>
              </w:rPr>
              <w:t>项目准备及现场调研</w:t>
            </w:r>
          </w:p>
        </w:tc>
        <w:tc>
          <w:tcPr>
            <w:tcW w:w="47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default" w:ascii="宋体" w:hAnsi="宋体" w:eastAsia="宋体" w:cs="宋体"/>
                <w:sz w:val="24"/>
              </w:rPr>
              <w:t>协助对信息系统物理环境、网络、终端、数据、安全管理等进行调研。</w:t>
            </w:r>
          </w:p>
        </w:tc>
      </w:tr>
      <w:tr>
        <w:tblPrEx>
          <w:tblCellMar>
            <w:top w:w="0" w:type="dxa"/>
            <w:left w:w="10" w:type="dxa"/>
            <w:bottom w:w="0" w:type="dxa"/>
            <w:right w:w="10" w:type="dxa"/>
          </w:tblCellMar>
        </w:tblPrEx>
        <w:trPr>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200" w:afterAutospacing="0" w:line="276" w:lineRule="auto"/>
              <w:ind w:left="0" w:right="0"/>
              <w:jc w:val="left"/>
              <w:rPr>
                <w:rFonts w:hint="default" w:ascii="宋体" w:hAnsi="宋体" w:eastAsia="宋体" w:cs="宋体"/>
                <w:sz w:val="22"/>
              </w:rPr>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信息系统定级、备案</w:t>
            </w:r>
          </w:p>
        </w:tc>
        <w:tc>
          <w:tcPr>
            <w:tcW w:w="47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rPr>
            </w:pPr>
            <w:r>
              <w:rPr>
                <w:rFonts w:hint="default" w:ascii="宋体" w:hAnsi="宋体" w:eastAsia="宋体" w:cs="宋体"/>
                <w:sz w:val="24"/>
              </w:rPr>
              <w:t>疏理信息系统定级工作，完成信息系统定级报告及定级材料的准备；</w:t>
            </w:r>
          </w:p>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default" w:ascii="宋体" w:hAnsi="宋体" w:eastAsia="宋体" w:cs="宋体"/>
                <w:sz w:val="24"/>
              </w:rPr>
              <w:t>整理、补充信息系统备案所有相关的文档，完成相应信息系统等级保护备案工作。</w:t>
            </w:r>
          </w:p>
        </w:tc>
      </w:tr>
      <w:tr>
        <w:tblPrEx>
          <w:tblCellMar>
            <w:top w:w="0" w:type="dxa"/>
            <w:left w:w="10" w:type="dxa"/>
            <w:bottom w:w="0" w:type="dxa"/>
            <w:right w:w="10" w:type="dxa"/>
          </w:tblCellMar>
        </w:tblPrEx>
        <w:trPr>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200" w:afterAutospacing="0" w:line="276" w:lineRule="auto"/>
              <w:ind w:left="0" w:right="0"/>
              <w:jc w:val="left"/>
              <w:rPr>
                <w:rFonts w:hint="default" w:ascii="宋体" w:hAnsi="宋体" w:eastAsia="宋体" w:cs="宋体"/>
                <w:sz w:val="22"/>
              </w:rPr>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信息系统差距分析</w:t>
            </w:r>
          </w:p>
        </w:tc>
        <w:tc>
          <w:tcPr>
            <w:tcW w:w="47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default" w:ascii="宋体" w:hAnsi="宋体" w:eastAsia="宋体" w:cs="宋体"/>
                <w:sz w:val="24"/>
              </w:rPr>
              <w:t>对定级的信息系统，依照《网络安全等级保护基本要求》进行逐个对照，分析信息系统安全情况与等级保护基本要求的差距，完成信息系统等级保护差距分析报告。</w:t>
            </w:r>
          </w:p>
        </w:tc>
      </w:tr>
      <w:tr>
        <w:tblPrEx>
          <w:tblCellMar>
            <w:top w:w="0" w:type="dxa"/>
            <w:left w:w="10" w:type="dxa"/>
            <w:bottom w:w="0" w:type="dxa"/>
            <w:right w:w="10" w:type="dxa"/>
          </w:tblCellMar>
        </w:tblPrEx>
        <w:trPr>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200" w:afterAutospacing="0" w:line="276" w:lineRule="auto"/>
              <w:ind w:left="0" w:right="0"/>
              <w:jc w:val="left"/>
              <w:rPr>
                <w:rFonts w:hint="default" w:ascii="宋体" w:hAnsi="宋体" w:eastAsia="宋体" w:cs="宋体"/>
                <w:sz w:val="22"/>
              </w:rPr>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等级保护安全整改</w:t>
            </w:r>
          </w:p>
        </w:tc>
        <w:tc>
          <w:tcPr>
            <w:tcW w:w="47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default" w:ascii="宋体" w:hAnsi="宋体" w:eastAsia="宋体" w:cs="宋体"/>
                <w:sz w:val="24"/>
              </w:rPr>
              <w:t>协助落实相关的等级保护建设整改工作，等级保护整改实施具体内容包括安全管理制度修订、安全技术整改、形成安全配置基线、辅助进行安全增强配置和调试工作、实施等保相关培训、安全风险管理工作落实等工作内容，提升信息系统的安全防护能力，确保信息系统满足国家等级保护相应等级要求。</w:t>
            </w:r>
          </w:p>
        </w:tc>
      </w:tr>
      <w:tr>
        <w:tblPrEx>
          <w:tblCellMar>
            <w:top w:w="0" w:type="dxa"/>
            <w:left w:w="10" w:type="dxa"/>
            <w:bottom w:w="0" w:type="dxa"/>
            <w:right w:w="10" w:type="dxa"/>
          </w:tblCellMar>
        </w:tblPrEx>
        <w:trPr>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200" w:afterAutospacing="0" w:line="276" w:lineRule="auto"/>
              <w:ind w:left="0" w:right="0"/>
              <w:jc w:val="left"/>
              <w:rPr>
                <w:rFonts w:hint="default" w:ascii="宋体" w:hAnsi="宋体" w:eastAsia="宋体" w:cs="宋体"/>
                <w:sz w:val="22"/>
              </w:rPr>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等级保护测评</w:t>
            </w:r>
          </w:p>
        </w:tc>
        <w:tc>
          <w:tcPr>
            <w:tcW w:w="47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default" w:ascii="宋体" w:hAnsi="宋体" w:eastAsia="宋体" w:cs="宋体"/>
                <w:sz w:val="24"/>
              </w:rPr>
              <w:t xml:space="preserve">参照《GBT22239-2019 网络安全等级保护基本要求》和《GB/T28448-2019 网络安全等级保护测评要求》等标准规范要求，对信息系统开展信息系统等级保护测评工作。 </w:t>
            </w:r>
          </w:p>
        </w:tc>
      </w:tr>
      <w:tr>
        <w:tblPrEx>
          <w:tblCellMar>
            <w:top w:w="0" w:type="dxa"/>
            <w:left w:w="10" w:type="dxa"/>
            <w:bottom w:w="0" w:type="dxa"/>
            <w:right w:w="10" w:type="dxa"/>
          </w:tblCellMar>
        </w:tblPrEx>
        <w:trPr>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200" w:afterAutospacing="0" w:line="276" w:lineRule="auto"/>
              <w:ind w:left="0" w:right="0"/>
              <w:jc w:val="left"/>
              <w:rPr>
                <w:rFonts w:hint="default" w:ascii="宋体" w:hAnsi="宋体" w:eastAsia="宋体" w:cs="宋体"/>
                <w:sz w:val="22"/>
              </w:rPr>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成果</w:t>
            </w:r>
          </w:p>
        </w:tc>
        <w:tc>
          <w:tcPr>
            <w:tcW w:w="47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default" w:ascii="宋体" w:hAnsi="宋体" w:eastAsia="宋体" w:cs="宋体"/>
                <w:sz w:val="24"/>
              </w:rPr>
              <w:t>服务目标为：协助用户取得公安机关备案证明；通过公安部门的等级保护检查，输出《信息系统等级保护测评报告》。</w:t>
            </w:r>
          </w:p>
        </w:tc>
      </w:tr>
    </w:tbl>
    <w:p>
      <w:pPr>
        <w:tabs>
          <w:tab w:val="left" w:pos="634"/>
        </w:tabs>
        <w:spacing w:line="360" w:lineRule="auto"/>
        <w:ind w:firstLine="420"/>
        <w:rPr>
          <w:rFonts w:ascii="宋体" w:hAnsi="宋体" w:eastAsia="宋体" w:cs="宋体"/>
          <w:b/>
          <w:sz w:val="24"/>
        </w:rPr>
      </w:pPr>
    </w:p>
    <w:p>
      <w:pPr>
        <w:tabs>
          <w:tab w:val="left" w:pos="634"/>
        </w:tabs>
        <w:spacing w:line="360" w:lineRule="auto"/>
        <w:ind w:firstLine="420"/>
        <w:rPr>
          <w:rFonts w:ascii="宋体" w:hAnsi="宋体" w:eastAsia="宋体" w:cs="宋体"/>
          <w:b/>
          <w:sz w:val="24"/>
        </w:rPr>
      </w:pPr>
    </w:p>
    <w:p>
      <w:pPr>
        <w:tabs>
          <w:tab w:val="left" w:pos="634"/>
        </w:tabs>
        <w:spacing w:line="360" w:lineRule="auto"/>
        <w:ind w:firstLine="420"/>
        <w:rPr>
          <w:rFonts w:ascii="宋体" w:hAnsi="宋体" w:eastAsia="宋体" w:cs="宋体"/>
          <w:b/>
          <w:sz w:val="28"/>
        </w:rPr>
      </w:pPr>
      <w:r>
        <w:rPr>
          <w:rFonts w:ascii="宋体" w:hAnsi="宋体" w:eastAsia="宋体" w:cs="宋体"/>
          <w:b/>
          <w:sz w:val="28"/>
        </w:rPr>
        <w:t>12.3、测评要求</w:t>
      </w:r>
    </w:p>
    <w:p>
      <w:pPr>
        <w:spacing w:line="360" w:lineRule="auto"/>
        <w:ind w:firstLine="480"/>
        <w:rPr>
          <w:rFonts w:ascii="宋体" w:hAnsi="宋体" w:eastAsia="宋体" w:cs="宋体"/>
          <w:sz w:val="24"/>
        </w:rPr>
      </w:pPr>
      <w:r>
        <w:rPr>
          <w:rFonts w:ascii="宋体" w:hAnsi="宋体" w:eastAsia="宋体" w:cs="宋体"/>
          <w:sz w:val="24"/>
        </w:rPr>
        <w:t>（1）安全物理环境物理安全测评是对信息系统的机房和办公场所的物理位置选择、物理访问控制、防盗窃和防破坏、防雷击、防火、防水和防潮、防静电、温湿度控制、电力供应、电磁防护等方面的安全状况。</w:t>
      </w:r>
    </w:p>
    <w:p>
      <w:pPr>
        <w:spacing w:line="360" w:lineRule="auto"/>
        <w:ind w:firstLine="480"/>
        <w:rPr>
          <w:rFonts w:ascii="宋体" w:hAnsi="宋体" w:eastAsia="宋体" w:cs="宋体"/>
          <w:sz w:val="24"/>
        </w:rPr>
      </w:pPr>
      <w:r>
        <w:rPr>
          <w:rFonts w:ascii="宋体" w:hAnsi="宋体" w:eastAsia="宋体" w:cs="宋体"/>
          <w:sz w:val="24"/>
        </w:rPr>
        <w:t>（2）安全通信网络</w:t>
      </w:r>
    </w:p>
    <w:p>
      <w:pPr>
        <w:spacing w:line="360" w:lineRule="auto"/>
        <w:ind w:firstLine="480"/>
        <w:rPr>
          <w:rFonts w:ascii="宋体" w:hAnsi="宋体" w:eastAsia="宋体" w:cs="宋体"/>
          <w:sz w:val="24"/>
        </w:rPr>
      </w:pPr>
      <w:r>
        <w:rPr>
          <w:rFonts w:ascii="宋体" w:hAnsi="宋体" w:eastAsia="宋体" w:cs="宋体"/>
          <w:sz w:val="24"/>
        </w:rPr>
        <w:t>网络安全测评是对信息系统的网络系统安全防护情况进行测评，包括网络结构安全、网络访问控制、网络安全审计、网络边界完整性测评、网络入侵防范、网络恶意代码防范、网络设备防护等方面的安全状况。</w:t>
      </w:r>
    </w:p>
    <w:p>
      <w:pPr>
        <w:numPr>
          <w:ilvl w:val="0"/>
          <w:numId w:val="4"/>
        </w:numPr>
        <w:spacing w:line="360" w:lineRule="auto"/>
        <w:ind w:firstLine="480"/>
        <w:rPr>
          <w:rFonts w:ascii="宋体" w:hAnsi="宋体" w:eastAsia="宋体" w:cs="宋体"/>
          <w:sz w:val="24"/>
        </w:rPr>
      </w:pPr>
      <w:r>
        <w:rPr>
          <w:rFonts w:ascii="宋体" w:hAnsi="宋体" w:eastAsia="宋体" w:cs="宋体"/>
          <w:sz w:val="24"/>
        </w:rPr>
        <w:t>安全区域边界</w:t>
      </w:r>
    </w:p>
    <w:p>
      <w:pPr>
        <w:spacing w:line="360" w:lineRule="auto"/>
        <w:ind w:firstLine="420"/>
        <w:rPr>
          <w:rFonts w:ascii="宋体" w:hAnsi="宋体" w:eastAsia="宋体" w:cs="宋体"/>
          <w:sz w:val="24"/>
        </w:rPr>
      </w:pPr>
      <w:r>
        <w:rPr>
          <w:rFonts w:ascii="宋体" w:hAnsi="宋体" w:eastAsia="宋体" w:cs="宋体"/>
          <w:sz w:val="24"/>
        </w:rPr>
        <w:t>安全区域边界是对信息系统的边界防护、访问控制、入侵防范、恶意代码和垃圾邮件防范、安全审计、可信验证等方面的安全状况。</w:t>
      </w:r>
    </w:p>
    <w:p>
      <w:pPr>
        <w:spacing w:line="360" w:lineRule="auto"/>
        <w:ind w:firstLine="480"/>
        <w:rPr>
          <w:rFonts w:ascii="宋体" w:hAnsi="宋体" w:eastAsia="宋体" w:cs="宋体"/>
          <w:sz w:val="24"/>
        </w:rPr>
      </w:pPr>
      <w:r>
        <w:rPr>
          <w:rFonts w:ascii="宋体" w:hAnsi="宋体" w:eastAsia="宋体" w:cs="宋体"/>
          <w:sz w:val="24"/>
        </w:rPr>
        <w:t>（4）安全计算环境</w:t>
      </w:r>
    </w:p>
    <w:p>
      <w:pPr>
        <w:spacing w:line="360" w:lineRule="auto"/>
        <w:ind w:firstLine="480"/>
        <w:rPr>
          <w:rFonts w:ascii="宋体" w:hAnsi="宋体" w:eastAsia="宋体" w:cs="宋体"/>
          <w:sz w:val="24"/>
        </w:rPr>
      </w:pPr>
      <w:r>
        <w:rPr>
          <w:rFonts w:ascii="宋体" w:hAnsi="宋体" w:eastAsia="宋体" w:cs="宋体"/>
          <w:sz w:val="24"/>
        </w:rPr>
        <w:t>安全计算环境是对信息系统的身份鉴别、访问控制、安全审计、入侵防范、恶意代码防范、可信验证、数据完整性、数据保密性、数据备份恢复、剩余信息保护、个人信息保护等方面的安全状况。</w:t>
      </w:r>
    </w:p>
    <w:p>
      <w:pPr>
        <w:spacing w:line="360" w:lineRule="auto"/>
        <w:ind w:firstLine="480"/>
        <w:rPr>
          <w:rFonts w:ascii="宋体" w:hAnsi="宋体" w:eastAsia="宋体" w:cs="宋体"/>
          <w:sz w:val="24"/>
        </w:rPr>
      </w:pPr>
      <w:r>
        <w:rPr>
          <w:rFonts w:ascii="宋体" w:hAnsi="宋体" w:eastAsia="宋体" w:cs="宋体"/>
          <w:sz w:val="24"/>
        </w:rPr>
        <w:t>（5）安全管理中心</w:t>
      </w:r>
    </w:p>
    <w:p>
      <w:pPr>
        <w:spacing w:line="360" w:lineRule="auto"/>
        <w:ind w:firstLine="480"/>
        <w:rPr>
          <w:rFonts w:ascii="宋体" w:hAnsi="宋体" w:eastAsia="宋体" w:cs="宋体"/>
          <w:sz w:val="24"/>
        </w:rPr>
      </w:pPr>
      <w:r>
        <w:rPr>
          <w:rFonts w:ascii="宋体" w:hAnsi="宋体" w:eastAsia="宋体" w:cs="宋体"/>
          <w:sz w:val="24"/>
        </w:rPr>
        <w:t>安全管理中心是对信息系统的系统管理、审计管理、安全管理、集中管控进行测评。</w:t>
      </w:r>
    </w:p>
    <w:p>
      <w:pPr>
        <w:spacing w:line="360" w:lineRule="auto"/>
        <w:ind w:firstLine="480"/>
        <w:rPr>
          <w:rFonts w:ascii="宋体" w:hAnsi="宋体" w:eastAsia="宋体" w:cs="宋体"/>
          <w:sz w:val="24"/>
        </w:rPr>
      </w:pPr>
      <w:r>
        <w:rPr>
          <w:rFonts w:ascii="宋体" w:hAnsi="宋体" w:eastAsia="宋体" w:cs="宋体"/>
          <w:sz w:val="24"/>
        </w:rPr>
        <w:t>（6）安全管理制度</w:t>
      </w:r>
    </w:p>
    <w:p>
      <w:pPr>
        <w:spacing w:line="360" w:lineRule="auto"/>
        <w:ind w:firstLine="480"/>
        <w:rPr>
          <w:rFonts w:ascii="宋体" w:hAnsi="宋体" w:eastAsia="宋体" w:cs="宋体"/>
          <w:sz w:val="24"/>
        </w:rPr>
      </w:pPr>
      <w:r>
        <w:rPr>
          <w:rFonts w:ascii="宋体" w:hAnsi="宋体" w:eastAsia="宋体" w:cs="宋体"/>
          <w:sz w:val="24"/>
        </w:rPr>
        <w:t>安全管理制度测评是对信息系统的安全策略、管理制度、制定和发布、评审和修订等情况进行测评。</w:t>
      </w:r>
    </w:p>
    <w:p>
      <w:pPr>
        <w:spacing w:line="360" w:lineRule="auto"/>
        <w:ind w:firstLine="480"/>
        <w:rPr>
          <w:rFonts w:ascii="宋体" w:hAnsi="宋体" w:eastAsia="宋体" w:cs="宋体"/>
          <w:sz w:val="24"/>
        </w:rPr>
      </w:pPr>
      <w:r>
        <w:rPr>
          <w:rFonts w:ascii="宋体" w:hAnsi="宋体" w:eastAsia="宋体" w:cs="宋体"/>
          <w:sz w:val="24"/>
        </w:rPr>
        <w:t>（7）安全管理机构</w:t>
      </w:r>
    </w:p>
    <w:p>
      <w:pPr>
        <w:spacing w:line="360" w:lineRule="auto"/>
        <w:ind w:firstLine="480"/>
        <w:rPr>
          <w:rFonts w:ascii="宋体" w:hAnsi="宋体" w:eastAsia="宋体" w:cs="宋体"/>
          <w:sz w:val="24"/>
        </w:rPr>
      </w:pPr>
      <w:r>
        <w:rPr>
          <w:rFonts w:ascii="宋体" w:hAnsi="宋体" w:eastAsia="宋体" w:cs="宋体"/>
          <w:sz w:val="24"/>
        </w:rPr>
        <w:t>安全管理机构测评是对信息系统的岗位设置、人员配备、授权与审批、沟通和合作、审核和检查等情况进行测评。</w:t>
      </w:r>
    </w:p>
    <w:p>
      <w:pPr>
        <w:spacing w:line="360" w:lineRule="auto"/>
        <w:ind w:firstLine="480"/>
        <w:rPr>
          <w:rFonts w:ascii="宋体" w:hAnsi="宋体" w:eastAsia="宋体" w:cs="宋体"/>
          <w:sz w:val="24"/>
        </w:rPr>
      </w:pPr>
      <w:r>
        <w:rPr>
          <w:rFonts w:ascii="宋体" w:hAnsi="宋体" w:eastAsia="宋体" w:cs="宋体"/>
          <w:sz w:val="24"/>
        </w:rPr>
        <w:t>（8）安全管理人员</w:t>
      </w:r>
    </w:p>
    <w:p>
      <w:pPr>
        <w:spacing w:line="360" w:lineRule="auto"/>
        <w:ind w:firstLine="480"/>
        <w:rPr>
          <w:rFonts w:ascii="宋体" w:hAnsi="宋体" w:eastAsia="宋体" w:cs="宋体"/>
          <w:sz w:val="24"/>
        </w:rPr>
      </w:pPr>
      <w:r>
        <w:rPr>
          <w:rFonts w:ascii="宋体" w:hAnsi="宋体" w:eastAsia="宋体" w:cs="宋体"/>
          <w:sz w:val="24"/>
        </w:rPr>
        <w:t>人员安全管理测评是对信息系统相关内部人员的人员录用、人员离岗安全意识教育和培训、外部人员访问管理等情况进行测评。</w:t>
      </w:r>
    </w:p>
    <w:p>
      <w:pPr>
        <w:spacing w:line="360" w:lineRule="auto"/>
        <w:ind w:firstLine="480"/>
        <w:rPr>
          <w:rFonts w:ascii="宋体" w:hAnsi="宋体" w:eastAsia="宋体" w:cs="宋体"/>
          <w:sz w:val="24"/>
        </w:rPr>
      </w:pPr>
      <w:r>
        <w:rPr>
          <w:rFonts w:ascii="宋体" w:hAnsi="宋体" w:eastAsia="宋体" w:cs="宋体"/>
          <w:sz w:val="24"/>
        </w:rPr>
        <w:t>（9）安全建设管理</w:t>
      </w:r>
    </w:p>
    <w:p>
      <w:pPr>
        <w:spacing w:line="360" w:lineRule="auto"/>
        <w:ind w:firstLine="480"/>
        <w:rPr>
          <w:rFonts w:ascii="宋体" w:hAnsi="宋体" w:eastAsia="宋体" w:cs="宋体"/>
          <w:sz w:val="24"/>
        </w:rPr>
      </w:pPr>
      <w:r>
        <w:rPr>
          <w:rFonts w:ascii="宋体" w:hAnsi="宋体" w:eastAsia="宋体" w:cs="宋体"/>
          <w:sz w:val="24"/>
        </w:rPr>
        <w:t>系统建设管理测评是对信息系统建设过程中的、测试验收、系统交付、等级测评服务供应商管理等情况进行测评。</w:t>
      </w:r>
    </w:p>
    <w:p>
      <w:pPr>
        <w:spacing w:line="360" w:lineRule="auto"/>
        <w:ind w:firstLine="480"/>
        <w:rPr>
          <w:rFonts w:ascii="宋体" w:hAnsi="宋体" w:eastAsia="宋体" w:cs="宋体"/>
          <w:sz w:val="24"/>
        </w:rPr>
      </w:pPr>
      <w:r>
        <w:rPr>
          <w:rFonts w:ascii="宋体" w:hAnsi="宋体" w:eastAsia="宋体" w:cs="宋体"/>
          <w:sz w:val="24"/>
        </w:rPr>
        <w:t>（10）安全运维管理</w:t>
      </w:r>
    </w:p>
    <w:p>
      <w:pPr>
        <w:spacing w:line="360" w:lineRule="auto"/>
        <w:ind w:firstLine="480"/>
        <w:rPr>
          <w:rFonts w:ascii="宋体" w:hAnsi="宋体" w:eastAsia="宋体" w:cs="宋体"/>
          <w:sz w:val="24"/>
        </w:rPr>
      </w:pPr>
      <w:r>
        <w:rPr>
          <w:rFonts w:ascii="宋体" w:hAnsi="宋体" w:eastAsia="宋体" w:cs="宋体"/>
          <w:sz w:val="24"/>
        </w:rPr>
        <w:t>系统运维管理测评是对信息系统运行维护过程中的环境管理、资产管理、介质管理、设备维护管理、漏洞和风险管理、网络和系统安全管理、恶意代码防范管理、配置管理、密码管理、变更管理、备份与恢复管理、安全事件处置、应急预案管理、外包运维管理等情况进行测评。</w:t>
      </w:r>
    </w:p>
    <w:p>
      <w:pPr>
        <w:numPr>
          <w:ilvl w:val="0"/>
          <w:numId w:val="5"/>
        </w:numPr>
        <w:tabs>
          <w:tab w:val="left" w:pos="634"/>
        </w:tabs>
        <w:spacing w:line="360" w:lineRule="auto"/>
        <w:ind w:firstLine="420"/>
        <w:rPr>
          <w:rFonts w:ascii="宋体" w:hAnsi="宋体" w:eastAsia="宋体" w:cs="宋体"/>
          <w:sz w:val="28"/>
        </w:rPr>
      </w:pPr>
      <w:r>
        <w:rPr>
          <w:rFonts w:ascii="宋体" w:hAnsi="宋体" w:eastAsia="宋体" w:cs="宋体"/>
          <w:b/>
          <w:sz w:val="28"/>
        </w:rPr>
        <w:t>4、测评风险规避要求</w:t>
      </w:r>
    </w:p>
    <w:p>
      <w:pPr>
        <w:spacing w:line="360" w:lineRule="auto"/>
        <w:ind w:firstLine="480"/>
        <w:rPr>
          <w:rFonts w:ascii="宋体" w:hAnsi="宋体" w:eastAsia="宋体" w:cs="宋体"/>
          <w:sz w:val="24"/>
        </w:rPr>
      </w:pPr>
      <w:r>
        <w:rPr>
          <w:rFonts w:ascii="宋体" w:hAnsi="宋体" w:eastAsia="宋体" w:cs="宋体"/>
          <w:sz w:val="24"/>
        </w:rPr>
        <w:t>项目开展工作涉及到单位重要信息系统和数据，在测评过程中必须加强安全保密管理与风险控制。</w:t>
      </w:r>
    </w:p>
    <w:p>
      <w:pPr>
        <w:spacing w:line="360" w:lineRule="auto"/>
        <w:ind w:firstLine="480"/>
        <w:rPr>
          <w:rFonts w:ascii="宋体" w:hAnsi="宋体" w:eastAsia="宋体" w:cs="宋体"/>
          <w:sz w:val="24"/>
        </w:rPr>
      </w:pPr>
      <w:r>
        <w:rPr>
          <w:rFonts w:ascii="宋体" w:hAnsi="宋体" w:eastAsia="宋体" w:cs="宋体"/>
          <w:sz w:val="24"/>
        </w:rPr>
        <w:t>指定项目经理为专人负责信息安全测评过程中的安全保密管理工作，对测评活动、测评人员以及相关文档和数据进行安全保密管理，对重点设备的技术检测进行监督，对接入的检测设备进行控制。</w:t>
      </w:r>
    </w:p>
    <w:p>
      <w:pPr>
        <w:spacing w:line="360" w:lineRule="auto"/>
        <w:ind w:firstLine="480"/>
        <w:rPr>
          <w:rFonts w:ascii="宋体" w:hAnsi="宋体" w:eastAsia="宋体" w:cs="宋体"/>
          <w:sz w:val="24"/>
        </w:rPr>
      </w:pPr>
      <w:r>
        <w:rPr>
          <w:rFonts w:ascii="宋体" w:hAnsi="宋体" w:eastAsia="宋体" w:cs="宋体"/>
          <w:sz w:val="24"/>
        </w:rPr>
        <w:t>安全测评工作中可能出现的安全风险点，按照检测对象周密制定测评方法，根据被测评对象的不同采取相应的风险控制手段。不限于以下方法：</w:t>
      </w:r>
    </w:p>
    <w:p>
      <w:pPr>
        <w:spacing w:line="360" w:lineRule="auto"/>
        <w:ind w:firstLine="480"/>
        <w:rPr>
          <w:rFonts w:ascii="宋体" w:hAnsi="宋体" w:eastAsia="宋体" w:cs="宋体"/>
          <w:sz w:val="24"/>
        </w:rPr>
      </w:pPr>
      <w:r>
        <w:rPr>
          <w:rFonts w:ascii="宋体" w:hAnsi="宋体" w:eastAsia="宋体" w:cs="宋体"/>
          <w:sz w:val="24"/>
        </w:rPr>
        <w:t>（1）操作的申请和监护</w:t>
      </w:r>
    </w:p>
    <w:p>
      <w:pPr>
        <w:spacing w:line="360" w:lineRule="auto"/>
        <w:ind w:firstLine="480"/>
        <w:rPr>
          <w:rFonts w:ascii="宋体" w:hAnsi="宋体" w:eastAsia="宋体" w:cs="宋体"/>
          <w:sz w:val="24"/>
        </w:rPr>
      </w:pPr>
      <w:r>
        <w:rPr>
          <w:rFonts w:ascii="宋体" w:hAnsi="宋体" w:eastAsia="宋体" w:cs="宋体"/>
          <w:sz w:val="24"/>
        </w:rPr>
        <w:t>在实施过程中必须遵守的相关操作章程，以防止敏感信息泄漏和确保及时处理意外事件。</w:t>
      </w:r>
    </w:p>
    <w:p>
      <w:pPr>
        <w:spacing w:line="360" w:lineRule="auto"/>
        <w:ind w:firstLine="480"/>
        <w:rPr>
          <w:rFonts w:ascii="宋体" w:hAnsi="宋体" w:eastAsia="宋体" w:cs="宋体"/>
          <w:sz w:val="24"/>
        </w:rPr>
      </w:pPr>
      <w:r>
        <w:rPr>
          <w:rFonts w:ascii="宋体" w:hAnsi="宋体" w:eastAsia="宋体" w:cs="宋体"/>
          <w:sz w:val="24"/>
        </w:rPr>
        <w:t>（2）操作时间控制</w:t>
      </w:r>
    </w:p>
    <w:p>
      <w:pPr>
        <w:numPr>
          <w:ilvl w:val="0"/>
          <w:numId w:val="6"/>
        </w:numPr>
        <w:tabs>
          <w:tab w:val="left" w:pos="360"/>
        </w:tabs>
        <w:spacing w:line="360" w:lineRule="auto"/>
        <w:ind w:firstLine="480"/>
        <w:rPr>
          <w:rFonts w:ascii="宋体" w:hAnsi="宋体" w:eastAsia="宋体" w:cs="宋体"/>
          <w:sz w:val="24"/>
        </w:rPr>
      </w:pPr>
      <w:r>
        <w:rPr>
          <w:rFonts w:ascii="宋体" w:hAnsi="宋体" w:eastAsia="宋体" w:cs="宋体"/>
          <w:sz w:val="24"/>
        </w:rPr>
        <w:t>对测评直接影响系统工作时，尽可能避开敏感时期。</w:t>
      </w:r>
    </w:p>
    <w:p>
      <w:pPr>
        <w:spacing w:line="360" w:lineRule="auto"/>
        <w:ind w:firstLine="480"/>
        <w:rPr>
          <w:rFonts w:ascii="宋体" w:hAnsi="宋体" w:eastAsia="宋体" w:cs="宋体"/>
          <w:sz w:val="24"/>
        </w:rPr>
      </w:pPr>
      <w:r>
        <w:rPr>
          <w:rFonts w:ascii="宋体" w:hAnsi="宋体" w:eastAsia="宋体" w:cs="宋体"/>
          <w:sz w:val="24"/>
        </w:rPr>
        <w:t>（3）人员与数据管理</w:t>
      </w:r>
    </w:p>
    <w:p>
      <w:pPr>
        <w:numPr>
          <w:ilvl w:val="0"/>
          <w:numId w:val="7"/>
        </w:numPr>
        <w:tabs>
          <w:tab w:val="left" w:pos="360"/>
        </w:tabs>
        <w:spacing w:line="360" w:lineRule="auto"/>
        <w:ind w:firstLine="480"/>
        <w:rPr>
          <w:rFonts w:ascii="宋体" w:hAnsi="宋体" w:eastAsia="宋体" w:cs="宋体"/>
          <w:sz w:val="24"/>
        </w:rPr>
      </w:pPr>
      <w:r>
        <w:rPr>
          <w:rFonts w:ascii="宋体" w:hAnsi="宋体" w:eastAsia="宋体" w:cs="宋体"/>
          <w:sz w:val="24"/>
        </w:rPr>
        <w:t>必须高度重视信息保密工作，加强资料管理，确保人员可靠、稳定和可控。测评与被测评单位之间应签署长期保密协议，测评人员与被测评单位之间也要有相应的约束和控制措施，按国家有关要求做好保密工作。</w:t>
      </w:r>
    </w:p>
    <w:p>
      <w:pPr>
        <w:spacing w:line="360" w:lineRule="auto"/>
        <w:ind w:firstLine="480"/>
        <w:rPr>
          <w:rFonts w:ascii="宋体" w:hAnsi="宋体" w:eastAsia="宋体" w:cs="宋体"/>
          <w:sz w:val="24"/>
        </w:rPr>
      </w:pPr>
      <w:r>
        <w:rPr>
          <w:rFonts w:ascii="宋体" w:hAnsi="宋体" w:eastAsia="宋体" w:cs="宋体"/>
          <w:sz w:val="24"/>
        </w:rPr>
        <w:t>（4）制定应急预案</w:t>
      </w:r>
    </w:p>
    <w:p>
      <w:pPr>
        <w:numPr>
          <w:ilvl w:val="0"/>
          <w:numId w:val="8"/>
        </w:numPr>
        <w:tabs>
          <w:tab w:val="left" w:pos="360"/>
        </w:tabs>
        <w:spacing w:line="360" w:lineRule="auto"/>
        <w:ind w:firstLine="480"/>
        <w:rPr>
          <w:rFonts w:ascii="宋体" w:hAnsi="宋体" w:eastAsia="宋体" w:cs="宋体"/>
          <w:sz w:val="24"/>
        </w:rPr>
      </w:pPr>
      <w:r>
        <w:rPr>
          <w:rFonts w:ascii="宋体" w:hAnsi="宋体" w:eastAsia="宋体" w:cs="宋体"/>
          <w:sz w:val="24"/>
        </w:rPr>
        <w:t>根据测评范围界定的系统情况，在实施前制定应急预案。</w:t>
      </w:r>
    </w:p>
    <w:p>
      <w:pPr>
        <w:spacing w:line="360" w:lineRule="auto"/>
        <w:ind w:firstLine="480"/>
        <w:rPr>
          <w:rFonts w:ascii="宋体" w:hAnsi="宋体" w:eastAsia="宋体" w:cs="宋体"/>
          <w:sz w:val="24"/>
        </w:rPr>
      </w:pPr>
      <w:r>
        <w:rPr>
          <w:rFonts w:ascii="宋体" w:hAnsi="宋体" w:eastAsia="宋体" w:cs="宋体"/>
          <w:sz w:val="24"/>
        </w:rPr>
        <w:t>（5）关键业务系统风险控制</w:t>
      </w:r>
    </w:p>
    <w:p>
      <w:pPr>
        <w:numPr>
          <w:ilvl w:val="0"/>
          <w:numId w:val="9"/>
        </w:numPr>
        <w:tabs>
          <w:tab w:val="left" w:pos="360"/>
        </w:tabs>
        <w:spacing w:line="360" w:lineRule="auto"/>
        <w:ind w:firstLine="480"/>
        <w:rPr>
          <w:rFonts w:ascii="宋体" w:hAnsi="宋体" w:eastAsia="宋体" w:cs="宋体"/>
          <w:sz w:val="24"/>
        </w:rPr>
      </w:pPr>
      <w:r>
        <w:rPr>
          <w:rFonts w:ascii="宋体" w:hAnsi="宋体" w:eastAsia="宋体" w:cs="宋体"/>
          <w:sz w:val="24"/>
        </w:rPr>
        <w:t>对影响较大的重要关键业务系统在无法搭建模拟环境情况下，原则上不采用测评工具，采用访谈、测评和简单测试的方式进行。</w:t>
      </w:r>
    </w:p>
    <w:p>
      <w:pPr>
        <w:spacing w:line="360" w:lineRule="auto"/>
        <w:ind w:firstLine="480"/>
        <w:rPr>
          <w:rFonts w:ascii="宋体" w:hAnsi="宋体" w:eastAsia="宋体" w:cs="宋体"/>
          <w:sz w:val="24"/>
        </w:rPr>
      </w:pPr>
      <w:r>
        <w:rPr>
          <w:rFonts w:ascii="宋体" w:hAnsi="宋体" w:eastAsia="宋体" w:cs="宋体"/>
          <w:sz w:val="24"/>
        </w:rPr>
        <w:t>（6）优化扫描策略</w:t>
      </w:r>
    </w:p>
    <w:p>
      <w:pPr>
        <w:spacing w:line="360" w:lineRule="auto"/>
        <w:ind w:firstLine="480"/>
        <w:rPr>
          <w:rFonts w:ascii="宋体" w:hAnsi="宋体" w:eastAsia="宋体" w:cs="宋体"/>
          <w:sz w:val="24"/>
        </w:rPr>
      </w:pPr>
      <w:r>
        <w:rPr>
          <w:rFonts w:ascii="宋体" w:hAnsi="宋体" w:eastAsia="宋体" w:cs="宋体"/>
          <w:sz w:val="24"/>
        </w:rPr>
        <w:t>分类扫描:对不同的主机和设备类型执行不同的扫描会话，从而减少不必要的脆弱项目测试。针对扫描对象细化扫描策略：对不同类型的主机或设备，需要根据其上不同的应用和服务情况，有针对性地定制扫描策略选项。</w:t>
      </w:r>
    </w:p>
    <w:p>
      <w:pPr>
        <w:spacing w:line="360" w:lineRule="auto"/>
        <w:ind w:firstLine="480"/>
        <w:rPr>
          <w:rFonts w:ascii="宋体" w:hAnsi="宋体" w:eastAsia="宋体" w:cs="宋体"/>
          <w:sz w:val="24"/>
        </w:rPr>
      </w:pPr>
      <w:r>
        <w:rPr>
          <w:rFonts w:ascii="宋体" w:hAnsi="宋体" w:eastAsia="宋体" w:cs="宋体"/>
          <w:sz w:val="24"/>
        </w:rPr>
        <w:t>（7）数据备份与恢复</w:t>
      </w:r>
    </w:p>
    <w:p>
      <w:pPr>
        <w:spacing w:line="360" w:lineRule="auto"/>
        <w:ind w:firstLine="480"/>
        <w:rPr>
          <w:rFonts w:ascii="宋体" w:hAnsi="宋体" w:eastAsia="宋体" w:cs="宋体"/>
          <w:b/>
          <w:sz w:val="24"/>
        </w:rPr>
      </w:pPr>
      <w:r>
        <w:rPr>
          <w:rFonts w:ascii="宋体" w:hAnsi="宋体" w:eastAsia="宋体" w:cs="宋体"/>
          <w:sz w:val="24"/>
        </w:rPr>
        <w:t>对业务系统和数据库主机，应对其上数据进行备份，防止测评过程中对设备与主机的损伤影响业务系统的正常运行。</w:t>
      </w:r>
    </w:p>
    <w:p>
      <w:pPr>
        <w:numPr>
          <w:ilvl w:val="0"/>
          <w:numId w:val="10"/>
        </w:numPr>
        <w:tabs>
          <w:tab w:val="left" w:pos="360"/>
        </w:tabs>
        <w:spacing w:line="360" w:lineRule="auto"/>
        <w:rPr>
          <w:rFonts w:ascii="宋体" w:hAnsi="宋体" w:eastAsia="宋体" w:cs="宋体"/>
          <w:sz w:val="28"/>
        </w:rPr>
      </w:pPr>
      <w:r>
        <w:rPr>
          <w:rFonts w:ascii="宋体" w:hAnsi="宋体" w:eastAsia="宋体" w:cs="宋体"/>
          <w:b/>
          <w:sz w:val="28"/>
        </w:rPr>
        <w:t>5、整改实施内容</w:t>
      </w:r>
    </w:p>
    <w:p>
      <w:pPr>
        <w:spacing w:line="360" w:lineRule="auto"/>
        <w:ind w:firstLine="480"/>
        <w:rPr>
          <w:rFonts w:ascii="宋体" w:hAnsi="宋体" w:eastAsia="宋体" w:cs="宋体"/>
          <w:sz w:val="24"/>
        </w:rPr>
      </w:pPr>
      <w:r>
        <w:rPr>
          <w:rFonts w:ascii="宋体" w:hAnsi="宋体" w:eastAsia="宋体" w:cs="宋体"/>
          <w:sz w:val="24"/>
        </w:rPr>
        <w:t>投标方严格按照差距分析报告内容，落实相关的等级保护建设整改工作，等级保护整改实施具体内容包括安全管理制度修订、安全技术整改、形成安全配置基线、进行安全增强配置和调试工作、实施等保相关培训、安全风险管理工作落实等工作内容，提升信息系统的安全防护能力，确保信息系统满足国家等级保护相应等级要求。</w:t>
      </w:r>
    </w:p>
    <w:p>
      <w:pPr>
        <w:numPr>
          <w:ilvl w:val="0"/>
          <w:numId w:val="11"/>
        </w:numPr>
        <w:tabs>
          <w:tab w:val="left" w:pos="360"/>
        </w:tabs>
        <w:spacing w:line="360" w:lineRule="auto"/>
        <w:rPr>
          <w:rFonts w:ascii="宋体" w:hAnsi="宋体" w:eastAsia="宋体" w:cs="宋体"/>
          <w:b/>
          <w:sz w:val="28"/>
        </w:rPr>
      </w:pPr>
      <w:r>
        <w:rPr>
          <w:rFonts w:ascii="宋体" w:hAnsi="宋体" w:eastAsia="宋体" w:cs="宋体"/>
          <w:b/>
          <w:sz w:val="28"/>
        </w:rPr>
        <w:t>6、汇总项目材料并验收</w:t>
      </w:r>
    </w:p>
    <w:p>
      <w:pPr>
        <w:spacing w:line="360" w:lineRule="auto"/>
        <w:ind w:firstLine="480"/>
        <w:rPr>
          <w:rFonts w:ascii="宋体" w:hAnsi="宋体" w:eastAsia="宋体" w:cs="宋体"/>
          <w:sz w:val="24"/>
        </w:rPr>
      </w:pPr>
      <w:r>
        <w:rPr>
          <w:rFonts w:ascii="宋体" w:hAnsi="宋体" w:eastAsia="宋体" w:cs="宋体"/>
          <w:sz w:val="24"/>
        </w:rPr>
        <w:t>投标方对整改后的内容进行最终确认，并汇总信息系统等级保护测评报告，完成公安机关的材料报备，取得信息系统备案证明。</w:t>
      </w:r>
    </w:p>
    <w:p>
      <w:pPr>
        <w:spacing w:line="360" w:lineRule="auto"/>
        <w:ind w:firstLine="480"/>
        <w:rPr>
          <w:rFonts w:ascii="宋体" w:hAnsi="宋体" w:eastAsia="宋体" w:cs="宋体"/>
          <w:sz w:val="24"/>
        </w:rPr>
      </w:pPr>
      <w:r>
        <w:rPr>
          <w:rFonts w:ascii="宋体" w:hAnsi="宋体" w:eastAsia="宋体" w:cs="宋体"/>
          <w:sz w:val="24"/>
        </w:rPr>
        <w:t>投标方汇总等级保护测评阶段性文档（不限于定级备案材料、差距分析报告、整改实施方案、测评报告、备案证明等），保证通过评审及验收。</w:t>
      </w:r>
    </w:p>
    <w:p>
      <w:pPr>
        <w:rPr>
          <w:rFonts w:ascii="宋体" w:hAnsi="宋体" w:eastAsia="宋体" w:cs="宋体"/>
          <w:sz w:val="28"/>
        </w:rPr>
      </w:pPr>
    </w:p>
    <w:p>
      <w:pPr>
        <w:keepNext/>
        <w:keepLines/>
        <w:spacing w:before="260" w:after="260" w:line="415" w:lineRule="auto"/>
        <w:jc w:val="left"/>
        <w:rPr>
          <w:rFonts w:ascii="宋体" w:hAnsi="宋体" w:eastAsia="宋体" w:cs="宋体"/>
          <w:b/>
          <w:sz w:val="28"/>
        </w:rPr>
      </w:pPr>
      <w:r>
        <w:rPr>
          <w:rFonts w:ascii="宋体" w:hAnsi="宋体" w:eastAsia="宋体" w:cs="宋体"/>
          <w:b/>
          <w:sz w:val="28"/>
        </w:rPr>
        <w:t>13、测评风险规避要求</w:t>
      </w:r>
    </w:p>
    <w:p>
      <w:pPr>
        <w:spacing w:line="360" w:lineRule="auto"/>
        <w:ind w:firstLine="480"/>
        <w:jc w:val="left"/>
        <w:rPr>
          <w:rFonts w:ascii="宋体" w:hAnsi="宋体" w:eastAsia="宋体" w:cs="宋体"/>
          <w:sz w:val="24"/>
        </w:rPr>
      </w:pPr>
      <w:r>
        <w:rPr>
          <w:rFonts w:ascii="宋体" w:hAnsi="宋体" w:eastAsia="宋体" w:cs="宋体"/>
          <w:sz w:val="24"/>
        </w:rPr>
        <w:t>项目开展工作涉及到单位重要信息系统和数据，在测评过程中必须加强安全保密管理与风险控制。</w:t>
      </w:r>
    </w:p>
    <w:p>
      <w:pPr>
        <w:spacing w:line="360" w:lineRule="auto"/>
        <w:ind w:firstLine="480"/>
        <w:jc w:val="left"/>
        <w:rPr>
          <w:rFonts w:ascii="宋体" w:hAnsi="宋体" w:eastAsia="宋体" w:cs="宋体"/>
          <w:sz w:val="24"/>
        </w:rPr>
      </w:pPr>
      <w:r>
        <w:rPr>
          <w:rFonts w:ascii="宋体" w:hAnsi="宋体" w:eastAsia="宋体" w:cs="宋体"/>
          <w:sz w:val="24"/>
        </w:rPr>
        <w:t>指定项目经理为专人负责信息安全测评过程中的安全保密管理工作，对测评活动、测评人员以及相关文档和数据进行安全保密管理，对重点设备的技术检测进行监督，对接入的检测设备进行控制。</w:t>
      </w:r>
    </w:p>
    <w:p>
      <w:pPr>
        <w:spacing w:line="360" w:lineRule="auto"/>
        <w:ind w:firstLine="480"/>
        <w:jc w:val="left"/>
        <w:rPr>
          <w:rFonts w:ascii="宋体" w:hAnsi="宋体" w:eastAsia="宋体" w:cs="宋体"/>
          <w:sz w:val="24"/>
        </w:rPr>
      </w:pPr>
      <w:r>
        <w:rPr>
          <w:rFonts w:ascii="宋体" w:hAnsi="宋体" w:eastAsia="宋体" w:cs="宋体"/>
          <w:sz w:val="24"/>
        </w:rPr>
        <w:t>安全测评工作中可能出现的安全风险点，按照检测对象周密制定测评方法，根据被测评对象的不同采取相应的风险控制手段。不限于以下方法：</w:t>
      </w:r>
    </w:p>
    <w:p>
      <w:pPr>
        <w:jc w:val="left"/>
        <w:rPr>
          <w:rFonts w:ascii="宋体" w:hAnsi="宋体" w:eastAsia="宋体" w:cs="宋体"/>
          <w:sz w:val="24"/>
        </w:rPr>
      </w:pPr>
      <w:r>
        <w:rPr>
          <w:rFonts w:ascii="宋体" w:hAnsi="宋体" w:eastAsia="宋体" w:cs="宋体"/>
          <w:sz w:val="24"/>
        </w:rPr>
        <w:t>操作的申请和监护</w:t>
      </w:r>
    </w:p>
    <w:p>
      <w:pPr>
        <w:spacing w:line="360" w:lineRule="auto"/>
        <w:ind w:firstLine="480"/>
        <w:jc w:val="left"/>
        <w:rPr>
          <w:rFonts w:ascii="宋体" w:hAnsi="宋体" w:eastAsia="宋体" w:cs="宋体"/>
          <w:sz w:val="24"/>
        </w:rPr>
      </w:pPr>
      <w:r>
        <w:rPr>
          <w:rFonts w:ascii="宋体" w:hAnsi="宋体" w:eastAsia="宋体" w:cs="宋体"/>
          <w:sz w:val="24"/>
        </w:rPr>
        <w:t>在实施过程中必须遵守的相关操作章程，以防止敏感信息泄漏和确保及时处理意外事件。</w:t>
      </w:r>
    </w:p>
    <w:p>
      <w:pPr>
        <w:jc w:val="left"/>
        <w:rPr>
          <w:rFonts w:ascii="宋体" w:hAnsi="宋体" w:eastAsia="宋体" w:cs="宋体"/>
          <w:sz w:val="24"/>
        </w:rPr>
      </w:pPr>
      <w:r>
        <w:rPr>
          <w:rFonts w:ascii="宋体" w:hAnsi="宋体" w:eastAsia="宋体" w:cs="宋体"/>
          <w:sz w:val="24"/>
        </w:rPr>
        <w:t>操作时间控制</w:t>
      </w:r>
    </w:p>
    <w:p>
      <w:pPr>
        <w:spacing w:line="360" w:lineRule="auto"/>
        <w:ind w:firstLine="480"/>
        <w:jc w:val="left"/>
        <w:rPr>
          <w:rFonts w:ascii="宋体" w:hAnsi="宋体" w:eastAsia="宋体" w:cs="宋体"/>
          <w:sz w:val="24"/>
        </w:rPr>
      </w:pPr>
      <w:r>
        <w:rPr>
          <w:rFonts w:ascii="宋体" w:hAnsi="宋体" w:eastAsia="宋体" w:cs="宋体"/>
          <w:sz w:val="24"/>
        </w:rPr>
        <w:t>对测评直接影响系统工作时，尽可能避开敏感时期。</w:t>
      </w:r>
    </w:p>
    <w:p>
      <w:pPr>
        <w:jc w:val="left"/>
        <w:rPr>
          <w:rFonts w:ascii="宋体" w:hAnsi="宋体" w:eastAsia="宋体" w:cs="宋体"/>
          <w:sz w:val="24"/>
        </w:rPr>
      </w:pPr>
      <w:r>
        <w:rPr>
          <w:rFonts w:ascii="宋体" w:hAnsi="宋体" w:eastAsia="宋体" w:cs="宋体"/>
          <w:sz w:val="24"/>
        </w:rPr>
        <w:t>人员与数据管理</w:t>
      </w:r>
    </w:p>
    <w:p>
      <w:pPr>
        <w:spacing w:line="360" w:lineRule="auto"/>
        <w:ind w:firstLine="480"/>
        <w:jc w:val="left"/>
        <w:rPr>
          <w:rFonts w:ascii="宋体" w:hAnsi="宋体" w:eastAsia="宋体" w:cs="宋体"/>
          <w:sz w:val="24"/>
        </w:rPr>
      </w:pPr>
      <w:r>
        <w:rPr>
          <w:rFonts w:ascii="宋体" w:hAnsi="宋体" w:eastAsia="宋体" w:cs="宋体"/>
          <w:sz w:val="24"/>
        </w:rPr>
        <w:t>必须高度重视信息保密工作，加强资料管理，确保人员可靠、稳定和可控。测评与被测评单位之间应签署长期保密协议，测评人员与被测评单位之间也要有相应的约束和控制措施，按国家有关要求做好保密工作。</w:t>
      </w:r>
    </w:p>
    <w:p>
      <w:pPr>
        <w:jc w:val="left"/>
        <w:rPr>
          <w:rFonts w:ascii="宋体" w:hAnsi="宋体" w:eastAsia="宋体" w:cs="宋体"/>
          <w:sz w:val="24"/>
        </w:rPr>
      </w:pPr>
      <w:r>
        <w:rPr>
          <w:rFonts w:ascii="宋体" w:hAnsi="宋体" w:eastAsia="宋体" w:cs="宋体"/>
          <w:sz w:val="24"/>
        </w:rPr>
        <w:t>制定应急预案</w:t>
      </w:r>
    </w:p>
    <w:p>
      <w:pPr>
        <w:spacing w:line="360" w:lineRule="auto"/>
        <w:ind w:firstLine="480"/>
        <w:jc w:val="left"/>
        <w:rPr>
          <w:rFonts w:ascii="宋体" w:hAnsi="宋体" w:eastAsia="宋体" w:cs="宋体"/>
          <w:sz w:val="24"/>
        </w:rPr>
      </w:pPr>
      <w:r>
        <w:rPr>
          <w:rFonts w:ascii="宋体" w:hAnsi="宋体" w:eastAsia="宋体" w:cs="宋体"/>
          <w:sz w:val="24"/>
        </w:rPr>
        <w:t>根据测评范围界定的系统情况，在实施前制定应急预案。</w:t>
      </w:r>
    </w:p>
    <w:p>
      <w:pPr>
        <w:jc w:val="left"/>
        <w:rPr>
          <w:rFonts w:ascii="宋体" w:hAnsi="宋体" w:eastAsia="宋体" w:cs="宋体"/>
          <w:sz w:val="24"/>
        </w:rPr>
      </w:pPr>
      <w:r>
        <w:rPr>
          <w:rFonts w:ascii="宋体" w:hAnsi="宋体" w:eastAsia="宋体" w:cs="宋体"/>
          <w:sz w:val="24"/>
        </w:rPr>
        <w:t>关键业务系统风险控制</w:t>
      </w:r>
    </w:p>
    <w:p>
      <w:pPr>
        <w:spacing w:line="360" w:lineRule="auto"/>
        <w:ind w:firstLine="480"/>
        <w:jc w:val="left"/>
        <w:rPr>
          <w:rFonts w:ascii="宋体" w:hAnsi="宋体" w:eastAsia="宋体" w:cs="宋体"/>
          <w:sz w:val="24"/>
        </w:rPr>
      </w:pPr>
      <w:r>
        <w:rPr>
          <w:rFonts w:ascii="宋体" w:hAnsi="宋体" w:eastAsia="宋体" w:cs="宋体"/>
          <w:sz w:val="24"/>
        </w:rPr>
        <w:t>对影响较大的重要关键业务系统在无法搭建模拟环境情况下，原则上不采用测评工具，采用访谈、测评和简单测试的方式进行。</w:t>
      </w:r>
    </w:p>
    <w:p>
      <w:pPr>
        <w:jc w:val="left"/>
        <w:rPr>
          <w:rFonts w:ascii="宋体" w:hAnsi="宋体" w:eastAsia="宋体" w:cs="宋体"/>
          <w:sz w:val="24"/>
        </w:rPr>
      </w:pPr>
      <w:r>
        <w:rPr>
          <w:rFonts w:ascii="宋体" w:hAnsi="宋体" w:eastAsia="宋体" w:cs="宋体"/>
          <w:sz w:val="24"/>
        </w:rPr>
        <w:t>优化扫描策略</w:t>
      </w:r>
    </w:p>
    <w:p>
      <w:pPr>
        <w:spacing w:line="360" w:lineRule="auto"/>
        <w:ind w:firstLine="480"/>
        <w:jc w:val="left"/>
        <w:rPr>
          <w:rFonts w:ascii="宋体" w:hAnsi="宋体" w:eastAsia="宋体" w:cs="宋体"/>
          <w:sz w:val="24"/>
        </w:rPr>
      </w:pPr>
      <w:r>
        <w:rPr>
          <w:rFonts w:ascii="宋体" w:hAnsi="宋体" w:eastAsia="宋体" w:cs="宋体"/>
          <w:sz w:val="24"/>
        </w:rPr>
        <w:t>分类扫描:对不同的主机和设备类型执行不同的扫描会话，从而减少不必要的脆弱项目测试。针对扫描对象细化扫描策略：对不同类型的主机或设备，需要根据其上不同的应用和服务情况，有针对性地定制扫描策略选项。</w:t>
      </w:r>
    </w:p>
    <w:p>
      <w:pPr>
        <w:jc w:val="left"/>
        <w:rPr>
          <w:rFonts w:ascii="宋体" w:hAnsi="宋体" w:eastAsia="宋体" w:cs="宋体"/>
          <w:sz w:val="24"/>
        </w:rPr>
      </w:pPr>
      <w:r>
        <w:rPr>
          <w:rFonts w:ascii="宋体" w:hAnsi="宋体" w:eastAsia="宋体" w:cs="宋体"/>
          <w:sz w:val="24"/>
        </w:rPr>
        <w:t>数据备份与恢复</w:t>
      </w:r>
    </w:p>
    <w:p>
      <w:pPr>
        <w:spacing w:line="360" w:lineRule="auto"/>
        <w:ind w:firstLine="480"/>
        <w:jc w:val="left"/>
        <w:rPr>
          <w:rFonts w:ascii="宋体" w:hAnsi="宋体" w:eastAsia="宋体" w:cs="宋体"/>
          <w:sz w:val="24"/>
        </w:rPr>
      </w:pPr>
      <w:r>
        <w:rPr>
          <w:rFonts w:ascii="宋体" w:hAnsi="宋体" w:eastAsia="宋体" w:cs="宋体"/>
          <w:sz w:val="24"/>
        </w:rPr>
        <w:t>对业务系统和数据库主机，应对其上数据进行备份，防止测评过程中对设备与主机的损伤影响业务系统的正常运行。</w:t>
      </w:r>
    </w:p>
    <w:p>
      <w:pPr>
        <w:jc w:val="left"/>
        <w:rPr>
          <w:rFonts w:ascii="宋体" w:hAnsi="宋体" w:eastAsia="宋体" w:cs="宋体"/>
          <w:sz w:val="24"/>
        </w:rPr>
      </w:pPr>
      <w:r>
        <w:rPr>
          <w:rFonts w:ascii="宋体" w:hAnsi="宋体" w:eastAsia="宋体" w:cs="宋体"/>
          <w:sz w:val="24"/>
        </w:rPr>
        <w:t>厂商协作</w:t>
      </w:r>
    </w:p>
    <w:p>
      <w:pPr>
        <w:spacing w:line="360" w:lineRule="auto"/>
        <w:ind w:firstLine="480"/>
        <w:jc w:val="left"/>
        <w:rPr>
          <w:rFonts w:ascii="宋体" w:hAnsi="宋体" w:eastAsia="宋体" w:cs="宋体"/>
          <w:sz w:val="24"/>
        </w:rPr>
      </w:pPr>
      <w:r>
        <w:rPr>
          <w:rFonts w:ascii="宋体" w:hAnsi="宋体" w:eastAsia="宋体" w:cs="宋体"/>
          <w:sz w:val="24"/>
        </w:rPr>
        <w:t>厂商需要提供各应用系统的名称、版本、协议、开发语言、进程名和相应的端口号等信息，在测评之前，由三方共同分析测评对业务可能造成的风险，分析可能存在的问题。在测评过程中尽量规避这些风险。</w:t>
      </w:r>
    </w:p>
    <w:p>
      <w:pPr>
        <w:spacing w:line="360" w:lineRule="auto"/>
        <w:jc w:val="left"/>
        <w:rPr>
          <w:rFonts w:ascii="宋体" w:hAnsi="宋体" w:eastAsia="宋体" w:cs="宋体"/>
          <w:b/>
          <w:sz w:val="28"/>
        </w:rPr>
      </w:pPr>
      <w:r>
        <w:rPr>
          <w:rFonts w:ascii="宋体" w:hAnsi="宋体" w:eastAsia="宋体" w:cs="宋体"/>
          <w:b/>
          <w:sz w:val="28"/>
        </w:rPr>
        <w:t>四、其它要求</w:t>
      </w:r>
    </w:p>
    <w:p>
      <w:pPr>
        <w:spacing w:line="360" w:lineRule="auto"/>
        <w:ind w:firstLine="480"/>
        <w:rPr>
          <w:rFonts w:ascii="宋体" w:hAnsi="宋体" w:eastAsia="宋体" w:cs="宋体"/>
          <w:sz w:val="24"/>
        </w:rPr>
      </w:pPr>
      <w:r>
        <w:rPr>
          <w:rFonts w:ascii="宋体" w:hAnsi="宋体" w:eastAsia="宋体" w:cs="宋体"/>
          <w:sz w:val="24"/>
        </w:rPr>
        <w:t>1、如成交供应商发生兼并、重组，由新组建的公司按投标文件承担相应售后服务；</w:t>
      </w:r>
    </w:p>
    <w:p>
      <w:pPr>
        <w:spacing w:line="360" w:lineRule="auto"/>
        <w:ind w:firstLine="480"/>
        <w:rPr>
          <w:rFonts w:ascii="宋体" w:hAnsi="宋体" w:eastAsia="宋体" w:cs="宋体"/>
          <w:sz w:val="24"/>
        </w:rPr>
      </w:pPr>
      <w:r>
        <w:rPr>
          <w:rFonts w:ascii="宋体" w:hAnsi="宋体" w:eastAsia="宋体" w:cs="宋体"/>
          <w:sz w:val="24"/>
        </w:rPr>
        <w:t>2、供应商使用的技术装备、设施应当符合《信息安全等级保护管理办法》中对信息安全产品的要求；</w:t>
      </w:r>
    </w:p>
    <w:p>
      <w:pPr>
        <w:spacing w:line="360" w:lineRule="auto"/>
        <w:ind w:firstLine="480"/>
        <w:rPr>
          <w:rFonts w:ascii="宋体" w:hAnsi="宋体" w:eastAsia="宋体" w:cs="宋体"/>
          <w:sz w:val="24"/>
        </w:rPr>
      </w:pPr>
      <w:r>
        <w:rPr>
          <w:rFonts w:ascii="宋体" w:hAnsi="宋体" w:eastAsia="宋体" w:cs="宋体"/>
          <w:sz w:val="24"/>
        </w:rPr>
        <w:t>3、供应商的技术方案中应有完备的保密管理、项目管理、质量管理、人员管理和培训教育等安全管理制度；</w:t>
      </w:r>
    </w:p>
    <w:p>
      <w:pPr>
        <w:spacing w:line="360" w:lineRule="auto"/>
        <w:rPr>
          <w:rFonts w:ascii="宋体" w:hAnsi="宋体" w:eastAsia="宋体" w:cs="宋体"/>
          <w:sz w:val="24"/>
        </w:rPr>
      </w:pPr>
      <w:r>
        <w:rPr>
          <w:rFonts w:ascii="宋体" w:hAnsi="宋体" w:eastAsia="宋体" w:cs="宋体"/>
          <w:b/>
          <w:sz w:val="28"/>
        </w:rPr>
        <w:t>五、评标办法</w:t>
      </w:r>
    </w:p>
    <w:p>
      <w:pPr>
        <w:spacing w:line="360" w:lineRule="auto"/>
        <w:ind w:firstLine="480"/>
        <w:rPr>
          <w:rFonts w:ascii="宋体" w:hAnsi="宋体" w:eastAsia="宋体" w:cs="宋体"/>
          <w:sz w:val="24"/>
        </w:rPr>
      </w:pPr>
      <w:r>
        <w:rPr>
          <w:rFonts w:ascii="宋体" w:hAnsi="宋体" w:eastAsia="宋体" w:cs="宋体"/>
          <w:sz w:val="24"/>
        </w:rPr>
        <w:t>本次评标采取综合评分法，满分100分，由投标报价（</w:t>
      </w:r>
      <w:r>
        <w:rPr>
          <w:rFonts w:hint="eastAsia" w:ascii="宋体" w:hAnsi="宋体" w:eastAsia="宋体" w:cs="宋体"/>
          <w:sz w:val="24"/>
          <w:lang w:val="en-US" w:eastAsia="zh-CN"/>
        </w:rPr>
        <w:t>3</w:t>
      </w:r>
      <w:r>
        <w:rPr>
          <w:rFonts w:ascii="宋体" w:hAnsi="宋体" w:eastAsia="宋体" w:cs="宋体"/>
          <w:sz w:val="24"/>
        </w:rPr>
        <w:t>0分）、技术（</w:t>
      </w:r>
      <w:r>
        <w:rPr>
          <w:rFonts w:hint="eastAsia" w:ascii="宋体" w:hAnsi="宋体" w:eastAsia="宋体" w:cs="宋体"/>
          <w:sz w:val="24"/>
          <w:lang w:val="en-US" w:eastAsia="zh-CN"/>
        </w:rPr>
        <w:t>25</w:t>
      </w:r>
      <w:r>
        <w:rPr>
          <w:rFonts w:ascii="宋体" w:hAnsi="宋体" w:eastAsia="宋体" w:cs="宋体"/>
          <w:sz w:val="24"/>
        </w:rPr>
        <w:t>分）、商务（</w:t>
      </w:r>
      <w:r>
        <w:rPr>
          <w:rFonts w:hint="eastAsia" w:ascii="宋体" w:hAnsi="宋体" w:eastAsia="宋体" w:cs="宋体"/>
          <w:sz w:val="24"/>
          <w:lang w:val="en-US" w:eastAsia="zh-CN"/>
        </w:rPr>
        <w:t>45</w:t>
      </w:r>
      <w:r>
        <w:rPr>
          <w:rFonts w:ascii="宋体" w:hAnsi="宋体" w:eastAsia="宋体" w:cs="宋体"/>
          <w:sz w:val="24"/>
        </w:rPr>
        <w:t>分）组成，最终得分=投标报价得分+技术得分+商务得分，具体细则见下表。</w:t>
      </w:r>
    </w:p>
    <w:p>
      <w:pPr>
        <w:spacing w:line="360" w:lineRule="auto"/>
        <w:ind w:firstLine="480"/>
        <w:rPr>
          <w:rFonts w:ascii="宋体" w:hAnsi="宋体" w:eastAsia="宋体" w:cs="宋体"/>
          <w:sz w:val="24"/>
        </w:rPr>
      </w:pPr>
    </w:p>
    <w:tbl>
      <w:tblPr>
        <w:tblStyle w:val="22"/>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07"/>
        <w:gridCol w:w="694"/>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分数</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报价部分（</w:t>
            </w:r>
            <w:r>
              <w:rPr>
                <w:rFonts w:hint="eastAsia" w:cs="宋体"/>
                <w:color w:val="auto"/>
                <w:kern w:val="0"/>
                <w:sz w:val="21"/>
                <w:szCs w:val="21"/>
                <w:lang w:val="en-US" w:eastAsia="zh-CN" w:bidi="ar"/>
              </w:rPr>
              <w:t>30</w:t>
            </w:r>
            <w:r>
              <w:rPr>
                <w:rFonts w:hint="eastAsia" w:ascii="宋体" w:hAnsi="宋体" w:eastAsia="宋体" w:cs="宋体"/>
                <w:color w:val="auto"/>
                <w:kern w:val="0"/>
                <w:sz w:val="21"/>
                <w:szCs w:val="21"/>
                <w:lang w:eastAsia="zh-CN" w:bidi="ar"/>
              </w:rPr>
              <w:t>分）</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最终磋商报价</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default" w:ascii="宋体" w:hAnsi="宋体" w:eastAsia="宋体" w:cs="宋体"/>
                <w:color w:val="auto"/>
                <w:kern w:val="0"/>
                <w:sz w:val="21"/>
                <w:szCs w:val="21"/>
                <w:lang w:val="en-US" w:eastAsia="zh-CN" w:bidi="ar"/>
              </w:rPr>
            </w:pPr>
            <w:r>
              <w:rPr>
                <w:rFonts w:hint="eastAsia" w:cs="宋体"/>
                <w:color w:val="auto"/>
                <w:kern w:val="0"/>
                <w:sz w:val="21"/>
                <w:szCs w:val="21"/>
                <w:lang w:val="en-US" w:eastAsia="zh-CN" w:bidi="ar"/>
              </w:rPr>
              <w:t>30</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2"/>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numPr>
                <w:ilvl w:val="0"/>
                <w:numId w:val="12"/>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投标报价得分＝（评标基准价/投标报价）×</w:t>
            </w:r>
            <w:r>
              <w:rPr>
                <w:rFonts w:hint="eastAsia" w:cs="宋体"/>
                <w:color w:val="auto"/>
                <w:kern w:val="0"/>
                <w:sz w:val="21"/>
                <w:szCs w:val="21"/>
                <w:lang w:val="en-US" w:eastAsia="zh-CN" w:bidi="ar"/>
              </w:rPr>
              <w:t>30</w:t>
            </w:r>
            <w:r>
              <w:rPr>
                <w:rFonts w:hint="eastAsia" w:ascii="宋体" w:hAnsi="宋体" w:eastAsia="宋体" w:cs="宋体"/>
                <w:color w:val="auto"/>
                <w:kern w:val="0"/>
                <w:sz w:val="21"/>
                <w:szCs w:val="21"/>
                <w:lang w:eastAsia="zh-CN" w:bidi="ar"/>
              </w:rPr>
              <w:t>%×100</w:t>
            </w:r>
          </w:p>
          <w:p>
            <w:pPr>
              <w:keepNext w:val="0"/>
              <w:keepLines w:val="0"/>
              <w:pageBreakBefore w:val="0"/>
              <w:numPr>
                <w:ilvl w:val="0"/>
                <w:numId w:val="12"/>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因落实政府采购政策进行价格调整的，以调整后的价格计算磋商基准价和磋商报价得分。</w:t>
            </w:r>
          </w:p>
          <w:p>
            <w:pPr>
              <w:keepNext w:val="0"/>
              <w:keepLines w:val="0"/>
              <w:pageBreakBefore w:val="0"/>
              <w:numPr>
                <w:ilvl w:val="0"/>
                <w:numId w:val="12"/>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评审小组认为供应商的报价明显低于其他通过符合性审查供应商的报价，有可能影响产品质量或者不能诚信履约的，应当要求其在磋商现场合理的时间内提供书面说明，必要时提交相关证明材料。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79"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商务部分（</w:t>
            </w:r>
            <w:r>
              <w:rPr>
                <w:rFonts w:hint="eastAsia" w:ascii="宋体" w:hAnsi="宋体" w:eastAsia="宋体" w:cs="宋体"/>
                <w:color w:val="auto"/>
                <w:kern w:val="0"/>
                <w:sz w:val="21"/>
                <w:szCs w:val="21"/>
                <w:lang w:val="en-US" w:eastAsia="zh-CN" w:bidi="ar"/>
              </w:rPr>
              <w:t>4</w:t>
            </w:r>
            <w:r>
              <w:rPr>
                <w:rFonts w:hint="eastAsia" w:cs="宋体"/>
                <w:color w:val="auto"/>
                <w:kern w:val="0"/>
                <w:sz w:val="21"/>
                <w:szCs w:val="21"/>
                <w:lang w:val="en-US" w:eastAsia="zh-CN" w:bidi="ar"/>
              </w:rPr>
              <w:t>5</w:t>
            </w:r>
            <w:r>
              <w:rPr>
                <w:rFonts w:hint="eastAsia" w:ascii="宋体" w:hAnsi="宋体" w:eastAsia="宋体" w:cs="宋体"/>
                <w:color w:val="auto"/>
                <w:kern w:val="0"/>
                <w:sz w:val="21"/>
                <w:szCs w:val="21"/>
                <w:lang w:eastAsia="zh-CN" w:bidi="ar"/>
              </w:rPr>
              <w:t xml:space="preserve">分）  </w:t>
            </w:r>
          </w:p>
        </w:tc>
        <w:tc>
          <w:tcPr>
            <w:tcW w:w="11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体系认证证书</w:t>
            </w:r>
          </w:p>
        </w:tc>
        <w:tc>
          <w:tcPr>
            <w:tcW w:w="694"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供应商具有相关部门颁发的ISO9001质量管理体系认证证书、</w:t>
            </w:r>
            <w:r>
              <w:rPr>
                <w:rFonts w:hint="eastAsia" w:ascii="宋体" w:hAnsi="宋体" w:eastAsia="宋体" w:cs="宋体"/>
                <w:color w:val="auto"/>
                <w:kern w:val="0"/>
                <w:sz w:val="21"/>
                <w:szCs w:val="21"/>
                <w:lang w:val="en-US" w:eastAsia="zh-CN" w:bidi="ar"/>
              </w:rPr>
              <w:t>ISO/IEC27001信息安全管理体系认证证书每项</w:t>
            </w:r>
            <w:r>
              <w:rPr>
                <w:rFonts w:hint="eastAsia" w:ascii="宋体" w:hAnsi="宋体" w:eastAsia="宋体" w:cs="宋体"/>
                <w:color w:val="auto"/>
                <w:kern w:val="0"/>
                <w:sz w:val="21"/>
                <w:szCs w:val="21"/>
                <w:lang w:eastAsia="zh-CN" w:bidi="ar"/>
              </w:rPr>
              <w:t>得</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eastAsia="zh-CN" w:bidi="ar"/>
              </w:rPr>
              <w:t>分，</w:t>
            </w:r>
            <w:r>
              <w:rPr>
                <w:rFonts w:hint="eastAsia" w:ascii="宋体" w:hAnsi="宋体" w:eastAsia="宋体" w:cs="宋体"/>
                <w:color w:val="auto"/>
                <w:kern w:val="0"/>
                <w:sz w:val="21"/>
                <w:szCs w:val="21"/>
                <w:lang w:val="en-US" w:eastAsia="zh-CN" w:bidi="ar"/>
              </w:rPr>
              <w:t>没有</w:t>
            </w:r>
            <w:r>
              <w:rPr>
                <w:rFonts w:hint="eastAsia" w:ascii="宋体" w:hAnsi="宋体" w:eastAsia="宋体" w:cs="宋体"/>
                <w:color w:val="auto"/>
                <w:kern w:val="0"/>
                <w:sz w:val="21"/>
                <w:szCs w:val="21"/>
                <w:lang w:eastAsia="zh-CN" w:bidi="ar"/>
              </w:rPr>
              <w:t>不得分，</w:t>
            </w:r>
            <w:r>
              <w:rPr>
                <w:rFonts w:hint="eastAsia" w:ascii="宋体" w:hAnsi="宋体" w:eastAsia="宋体" w:cs="宋体"/>
                <w:color w:val="auto"/>
                <w:kern w:val="0"/>
                <w:sz w:val="21"/>
                <w:szCs w:val="21"/>
                <w:lang w:val="en-US" w:eastAsia="zh-CN" w:bidi="ar"/>
              </w:rPr>
              <w:t>最高得4分。</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须提供在有效期内的证书复印件并加盖供应商公章）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sz w:val="21"/>
                <w:szCs w:val="21"/>
              </w:rPr>
            </w:pPr>
          </w:p>
        </w:tc>
        <w:tc>
          <w:tcPr>
            <w:tcW w:w="110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sz w:val="21"/>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w:t>
            </w:r>
          </w:p>
        </w:tc>
        <w:tc>
          <w:tcPr>
            <w:tcW w:w="7176"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eastAsia="zh-CN" w:bidi="ar"/>
              </w:rPr>
              <w:t>具有ISO2</w:t>
            </w:r>
            <w:r>
              <w:rPr>
                <w:rFonts w:hint="eastAsia" w:ascii="宋体" w:hAnsi="宋体" w:eastAsia="宋体" w:cs="宋体"/>
                <w:color w:val="auto"/>
                <w:kern w:val="0"/>
                <w:sz w:val="21"/>
                <w:szCs w:val="21"/>
                <w:highlight w:val="none"/>
                <w:lang w:val="en-US" w:eastAsia="zh-CN" w:bidi="ar"/>
              </w:rPr>
              <w:t>7701隐私信息</w:t>
            </w:r>
            <w:r>
              <w:rPr>
                <w:rFonts w:hint="eastAsia" w:ascii="宋体" w:hAnsi="宋体" w:eastAsia="宋体" w:cs="宋体"/>
                <w:color w:val="auto"/>
                <w:kern w:val="0"/>
                <w:sz w:val="21"/>
                <w:szCs w:val="21"/>
                <w:highlight w:val="none"/>
                <w:lang w:eastAsia="zh-CN" w:bidi="ar"/>
              </w:rPr>
              <w:t>管理体系认证证书的得</w:t>
            </w:r>
            <w:r>
              <w:rPr>
                <w:rFonts w:hint="eastAsia"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分，否则不得分。</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须提供在有效期内的证书复印件并加盖供应商公章）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eastAsia="zh-CN" w:bidi="ar"/>
              </w:rPr>
            </w:pPr>
          </w:p>
        </w:tc>
        <w:tc>
          <w:tcPr>
            <w:tcW w:w="1107" w:type="dxa"/>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企业业绩</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lang w:val="en-US" w:eastAsia="zh-CN" w:bidi="ar"/>
              </w:rPr>
            </w:pPr>
            <w:r>
              <w:rPr>
                <w:rFonts w:hint="eastAsia" w:cs="宋体"/>
                <w:color w:val="auto"/>
                <w:kern w:val="0"/>
                <w:sz w:val="21"/>
                <w:szCs w:val="21"/>
                <w:highlight w:val="none"/>
                <w:lang w:val="en-US" w:eastAsia="zh-CN" w:bidi="ar"/>
              </w:rPr>
              <w:t>2</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w:t>
            </w:r>
            <w:r>
              <w:rPr>
                <w:rFonts w:hint="eastAsia" w:ascii="宋体" w:hAnsi="宋体" w:eastAsia="宋体" w:cs="宋体"/>
                <w:color w:val="auto"/>
                <w:kern w:val="0"/>
                <w:sz w:val="21"/>
                <w:szCs w:val="21"/>
                <w:lang w:eastAsia="zh-CN" w:bidi="ar"/>
              </w:rPr>
              <w:t>提供近一年开展信息安全等级保护测评的相关案例</w:t>
            </w:r>
            <w:r>
              <w:rPr>
                <w:rFonts w:hint="eastAsia" w:ascii="宋体" w:hAnsi="宋体" w:eastAsia="宋体" w:cs="宋体"/>
                <w:color w:val="auto"/>
                <w:kern w:val="0"/>
                <w:sz w:val="21"/>
                <w:szCs w:val="21"/>
                <w:lang w:val="en-US" w:eastAsia="zh-CN" w:bidi="ar"/>
              </w:rPr>
              <w:t>，每提供一个得1分，最高得</w:t>
            </w:r>
            <w:r>
              <w:rPr>
                <w:rFonts w:hint="eastAsia"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分。（需提供合同复印件或中标通知书复印件，加盖供应商公章）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sz w:val="21"/>
                <w:szCs w:val="21"/>
              </w:rPr>
            </w:pPr>
          </w:p>
        </w:tc>
        <w:tc>
          <w:tcPr>
            <w:tcW w:w="1107" w:type="dxa"/>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sz w:val="21"/>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lang w:val="en-US" w:eastAsia="zh-CN" w:bidi="ar"/>
              </w:rPr>
            </w:pPr>
            <w:r>
              <w:rPr>
                <w:rFonts w:hint="eastAsia" w:cs="宋体"/>
                <w:color w:val="auto"/>
                <w:kern w:val="0"/>
                <w:sz w:val="21"/>
                <w:szCs w:val="21"/>
                <w:lang w:val="en-US" w:eastAsia="zh-CN" w:bidi="ar"/>
              </w:rPr>
              <w:t>6</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供应商应具有设备设施保障能力，</w:t>
            </w:r>
            <w:r>
              <w:rPr>
                <w:rFonts w:hint="eastAsia" w:ascii="宋体" w:hAnsi="宋体" w:eastAsia="宋体" w:cs="宋体"/>
                <w:b w:val="0"/>
                <w:bCs w:val="0"/>
                <w:color w:val="auto"/>
                <w:kern w:val="0"/>
                <w:sz w:val="21"/>
                <w:szCs w:val="21"/>
                <w:lang w:val="en-US" w:eastAsia="zh-CN" w:bidi="ar"/>
              </w:rPr>
              <w:t>按要求完成等级保护测评工作</w:t>
            </w:r>
          </w:p>
          <w:p>
            <w:pPr>
              <w:keepNext w:val="0"/>
              <w:keepLines w:val="0"/>
              <w:pageBreakBefore w:val="0"/>
              <w:numPr>
                <w:ilvl w:val="0"/>
                <w:numId w:val="13"/>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供应商拥有公安部认可的等级保护测评工具箱得</w:t>
            </w:r>
            <w:r>
              <w:rPr>
                <w:rFonts w:hint="eastAsia"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分。(提供购买发票并</w:t>
            </w:r>
            <w:r>
              <w:rPr>
                <w:rFonts w:hint="eastAsia" w:ascii="宋体" w:hAnsi="宋体" w:eastAsia="宋体" w:cs="宋体"/>
                <w:color w:val="auto"/>
                <w:kern w:val="0"/>
                <w:sz w:val="21"/>
                <w:szCs w:val="21"/>
                <w:lang w:eastAsia="zh-CN" w:bidi="ar"/>
              </w:rPr>
              <w:t>加盖供应商公章</w:t>
            </w:r>
            <w:r>
              <w:rPr>
                <w:rFonts w:hint="eastAsia" w:ascii="宋体" w:hAnsi="宋体" w:eastAsia="宋体" w:cs="宋体"/>
                <w:color w:val="auto"/>
                <w:kern w:val="0"/>
                <w:sz w:val="21"/>
                <w:szCs w:val="21"/>
                <w:lang w:val="en-US" w:eastAsia="zh-CN" w:bidi="ar"/>
              </w:rPr>
              <w:t>）</w:t>
            </w:r>
          </w:p>
          <w:p>
            <w:pPr>
              <w:keepNext w:val="0"/>
              <w:keepLines w:val="0"/>
              <w:pageBreakBefore w:val="0"/>
              <w:numPr>
                <w:ilvl w:val="0"/>
                <w:numId w:val="13"/>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供应商拥有自主知识产权的测评工具或测评系统每个得0.5分</w:t>
            </w:r>
            <w:r>
              <w:rPr>
                <w:rFonts w:hint="eastAsia" w:cs="宋体"/>
                <w:color w:val="auto"/>
                <w:kern w:val="0"/>
                <w:sz w:val="21"/>
                <w:szCs w:val="21"/>
                <w:lang w:val="en-US" w:eastAsia="zh-CN" w:bidi="ar"/>
              </w:rPr>
              <w:t>，最高得</w:t>
            </w:r>
            <w:r>
              <w:rPr>
                <w:rFonts w:hint="eastAsia" w:ascii="宋体" w:hAnsi="宋体" w:eastAsia="宋体" w:cs="宋体"/>
                <w:color w:val="auto"/>
                <w:kern w:val="0"/>
                <w:sz w:val="21"/>
                <w:szCs w:val="21"/>
                <w:lang w:val="en-US" w:eastAsia="zh-CN" w:bidi="ar"/>
              </w:rPr>
              <w:t>2分。(提供软件著作权证明文件并</w:t>
            </w:r>
            <w:r>
              <w:rPr>
                <w:rFonts w:hint="eastAsia" w:ascii="宋体" w:hAnsi="宋体" w:eastAsia="宋体" w:cs="宋体"/>
                <w:color w:val="auto"/>
                <w:kern w:val="0"/>
                <w:sz w:val="21"/>
                <w:szCs w:val="21"/>
                <w:lang w:eastAsia="zh-CN" w:bidi="ar"/>
              </w:rPr>
              <w:t>加盖供应商公章</w:t>
            </w:r>
            <w:r>
              <w:rPr>
                <w:rFonts w:hint="eastAsia" w:ascii="宋体" w:hAnsi="宋体" w:eastAsia="宋体" w:cs="宋体"/>
                <w:color w:val="auto"/>
                <w:kern w:val="0"/>
                <w:sz w:val="21"/>
                <w:szCs w:val="21"/>
                <w:lang w:val="en-US" w:eastAsia="zh-CN" w:bidi="ar"/>
              </w:rPr>
              <w:t>）</w:t>
            </w:r>
          </w:p>
          <w:p>
            <w:pPr>
              <w:keepNext w:val="0"/>
              <w:keepLines w:val="0"/>
              <w:pageBreakBefore w:val="0"/>
              <w:numPr>
                <w:ilvl w:val="0"/>
                <w:numId w:val="13"/>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供应商拥有自主化研发团队得</w:t>
            </w:r>
            <w:r>
              <w:rPr>
                <w:rFonts w:hint="eastAsia"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分。(提供有效期内的CMMI软件能力成熟度三级资质并</w:t>
            </w:r>
            <w:r>
              <w:rPr>
                <w:rFonts w:hint="eastAsia" w:ascii="宋体" w:hAnsi="宋体" w:eastAsia="宋体" w:cs="宋体"/>
                <w:color w:val="auto"/>
                <w:kern w:val="0"/>
                <w:sz w:val="21"/>
                <w:szCs w:val="21"/>
                <w:lang w:eastAsia="zh-CN" w:bidi="ar"/>
              </w:rPr>
              <w:t>加盖供应商公章</w:t>
            </w:r>
            <w:r>
              <w:rPr>
                <w:rFonts w:hint="eastAsia" w:ascii="宋体" w:hAnsi="宋体" w:eastAsia="宋体" w:cs="宋体"/>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eastAsia="zh-CN" w:bidi="ar"/>
              </w:rPr>
            </w:pPr>
          </w:p>
        </w:tc>
        <w:tc>
          <w:tcPr>
            <w:tcW w:w="1107"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企业资质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投标人拟投入的</w:t>
            </w:r>
            <w:r>
              <w:rPr>
                <w:rFonts w:hint="eastAsia" w:ascii="宋体" w:hAnsi="宋体" w:eastAsia="宋体" w:cs="宋体"/>
                <w:color w:val="auto"/>
                <w:kern w:val="0"/>
                <w:sz w:val="21"/>
                <w:szCs w:val="21"/>
                <w:lang w:val="en-US" w:eastAsia="zh-CN" w:bidi="ar"/>
              </w:rPr>
              <w:t>项目经理具备系统分析师、</w:t>
            </w:r>
            <w:r>
              <w:rPr>
                <w:rFonts w:hint="eastAsia" w:ascii="宋体" w:hAnsi="宋体" w:eastAsia="宋体" w:cs="宋体"/>
                <w:color w:val="auto"/>
                <w:kern w:val="0"/>
                <w:sz w:val="21"/>
                <w:szCs w:val="21"/>
                <w:lang w:eastAsia="zh-CN" w:bidi="ar"/>
              </w:rPr>
              <w:t>信息系统审计师ISA，以上证书每提供一个得</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eastAsia="zh-CN" w:bidi="ar"/>
              </w:rPr>
              <w:t>分，本项最高得</w:t>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eastAsia="zh-CN" w:bidi="ar"/>
              </w:rPr>
              <w:t>分，未提供不得分。（提供有效</w:t>
            </w:r>
            <w:r>
              <w:rPr>
                <w:rFonts w:hint="eastAsia" w:ascii="宋体" w:hAnsi="宋体" w:eastAsia="宋体" w:cs="宋体"/>
                <w:color w:val="auto"/>
                <w:kern w:val="0"/>
                <w:sz w:val="21"/>
                <w:szCs w:val="21"/>
                <w:lang w:val="en-US" w:eastAsia="zh-CN" w:bidi="ar"/>
              </w:rPr>
              <w:t>证书及人员社保证明</w:t>
            </w:r>
            <w:r>
              <w:rPr>
                <w:rFonts w:hint="eastAsia" w:ascii="宋体" w:hAnsi="宋体" w:eastAsia="宋体" w:cs="宋体"/>
                <w:color w:val="auto"/>
                <w:kern w:val="0"/>
                <w:sz w:val="21"/>
                <w:szCs w:val="21"/>
                <w:lang w:eastAsia="zh-CN" w:bidi="ar"/>
              </w:rPr>
              <w:t>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eastAsia="zh-CN" w:bidi="ar"/>
              </w:rPr>
            </w:pPr>
          </w:p>
        </w:tc>
        <w:tc>
          <w:tcPr>
            <w:tcW w:w="110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1"/>
                <w:szCs w:val="21"/>
                <w:lang w:val="en-US" w:eastAsia="zh-CN" w:bidi="ar"/>
              </w:rPr>
            </w:pPr>
            <w:r>
              <w:rPr>
                <w:rFonts w:hint="eastAsia" w:cs="宋体"/>
                <w:color w:val="auto"/>
                <w:kern w:val="0"/>
                <w:sz w:val="21"/>
                <w:szCs w:val="21"/>
                <w:highlight w:val="none"/>
                <w:lang w:val="en-US" w:eastAsia="zh-CN" w:bidi="ar"/>
              </w:rPr>
              <w:t>8</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eastAsia="zh-CN" w:bidi="ar"/>
              </w:rPr>
              <w:t>投标人拟投入的</w:t>
            </w:r>
            <w:r>
              <w:rPr>
                <w:rFonts w:hint="eastAsia" w:ascii="宋体" w:hAnsi="宋体" w:eastAsia="宋体" w:cs="宋体"/>
                <w:color w:val="auto"/>
                <w:kern w:val="0"/>
                <w:sz w:val="21"/>
                <w:szCs w:val="21"/>
                <w:lang w:val="en-US" w:eastAsia="zh-CN" w:bidi="ar"/>
              </w:rPr>
              <w:t>技术负责人</w:t>
            </w:r>
            <w:r>
              <w:rPr>
                <w:rFonts w:hint="eastAsia" w:ascii="宋体" w:hAnsi="宋体" w:eastAsia="宋体" w:cs="宋体"/>
                <w:color w:val="auto"/>
                <w:kern w:val="0"/>
                <w:sz w:val="21"/>
                <w:szCs w:val="21"/>
                <w:lang w:eastAsia="zh-CN" w:bidi="ar"/>
              </w:rPr>
              <w:t>具备</w:t>
            </w:r>
            <w:r>
              <w:rPr>
                <w:rFonts w:hint="eastAsia" w:ascii="宋体" w:hAnsi="宋体" w:eastAsia="宋体" w:cs="宋体"/>
                <w:color w:val="auto"/>
                <w:kern w:val="0"/>
                <w:sz w:val="21"/>
                <w:szCs w:val="21"/>
                <w:lang w:val="en-US" w:eastAsia="zh-CN" w:bidi="ar"/>
              </w:rPr>
              <w:t>中级及以上测评师资质、</w:t>
            </w:r>
            <w:r>
              <w:rPr>
                <w:rFonts w:hint="eastAsia" w:ascii="宋体" w:hAnsi="宋体" w:eastAsia="宋体" w:cs="宋体"/>
                <w:color w:val="auto"/>
                <w:kern w:val="0"/>
                <w:sz w:val="21"/>
                <w:szCs w:val="21"/>
                <w:lang w:eastAsia="zh-CN" w:bidi="ar"/>
              </w:rPr>
              <w:t>CISP-CIS</w:t>
            </w:r>
            <w:r>
              <w:rPr>
                <w:rFonts w:hint="eastAsia" w:ascii="宋体" w:hAnsi="宋体" w:eastAsia="宋体" w:cs="宋体"/>
                <w:color w:val="auto"/>
                <w:kern w:val="0"/>
                <w:sz w:val="21"/>
                <w:szCs w:val="21"/>
                <w:lang w:val="en-US" w:eastAsia="zh-CN" w:bidi="ar"/>
              </w:rPr>
              <w:t>E</w:t>
            </w:r>
            <w:r>
              <w:rPr>
                <w:rFonts w:hint="eastAsia" w:ascii="宋体" w:hAnsi="宋体" w:eastAsia="宋体" w:cs="宋体"/>
                <w:color w:val="auto"/>
                <w:kern w:val="0"/>
                <w:sz w:val="21"/>
                <w:szCs w:val="21"/>
                <w:lang w:eastAsia="zh-CN" w:bidi="ar"/>
              </w:rPr>
              <w:t>注册信息安全专业人员证书</w:t>
            </w:r>
            <w:r>
              <w:rPr>
                <w:rFonts w:hint="eastAsia" w:ascii="宋体" w:hAnsi="宋体" w:eastAsia="宋体" w:cs="宋体"/>
                <w:color w:val="auto"/>
                <w:kern w:val="0"/>
                <w:sz w:val="21"/>
                <w:szCs w:val="21"/>
                <w:lang w:val="en-US" w:eastAsia="zh-CN" w:bidi="ar"/>
              </w:rPr>
              <w:t>、CCSC网络安全能力认证证书</w:t>
            </w:r>
            <w:r>
              <w:rPr>
                <w:rFonts w:hint="eastAsia" w:ascii="宋体" w:hAnsi="宋体" w:eastAsia="宋体" w:cs="宋体"/>
                <w:color w:val="auto"/>
                <w:kern w:val="0"/>
                <w:sz w:val="21"/>
                <w:szCs w:val="21"/>
                <w:lang w:eastAsia="zh-CN" w:bidi="ar"/>
              </w:rPr>
              <w:t>，以上证书每提供一个得</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eastAsia="zh-CN" w:bidi="ar"/>
              </w:rPr>
              <w:t>分</w:t>
            </w:r>
            <w:r>
              <w:rPr>
                <w:rFonts w:hint="eastAsia" w:cs="宋体"/>
                <w:color w:val="auto"/>
                <w:kern w:val="0"/>
                <w:sz w:val="21"/>
                <w:szCs w:val="21"/>
                <w:lang w:eastAsia="zh-CN" w:bidi="ar"/>
              </w:rPr>
              <w:t>，</w:t>
            </w:r>
            <w:r>
              <w:rPr>
                <w:rFonts w:hint="eastAsia" w:cs="宋体"/>
                <w:color w:val="auto"/>
                <w:kern w:val="0"/>
                <w:sz w:val="21"/>
                <w:szCs w:val="21"/>
                <w:lang w:val="en-US" w:eastAsia="zh-CN" w:bidi="ar"/>
              </w:rPr>
              <w:t>若</w:t>
            </w:r>
            <w:r>
              <w:rPr>
                <w:rFonts w:hint="eastAsia" w:ascii="宋体" w:hAnsi="宋体" w:eastAsia="宋体" w:cs="宋体"/>
                <w:color w:val="auto"/>
                <w:kern w:val="0"/>
                <w:sz w:val="21"/>
                <w:szCs w:val="21"/>
                <w:lang w:val="en-US" w:eastAsia="zh-CN" w:bidi="ar"/>
              </w:rPr>
              <w:t>在信息安全专业刊物上发表过2篇及以上论文得</w:t>
            </w:r>
            <w:r>
              <w:rPr>
                <w:rFonts w:hint="eastAsia"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分</w:t>
            </w:r>
            <w:r>
              <w:rPr>
                <w:rFonts w:hint="eastAsia" w:cs="宋体"/>
                <w:color w:val="auto"/>
                <w:kern w:val="0"/>
                <w:sz w:val="21"/>
                <w:szCs w:val="21"/>
                <w:lang w:val="en-US" w:eastAsia="zh-CN" w:bidi="ar"/>
              </w:rPr>
              <w:t>，本项最高得8分，未提供不得分。</w:t>
            </w:r>
            <w:r>
              <w:rPr>
                <w:rFonts w:hint="eastAsia" w:ascii="宋体" w:hAnsi="宋体" w:eastAsia="宋体" w:cs="宋体"/>
                <w:color w:val="auto"/>
                <w:kern w:val="0"/>
                <w:sz w:val="21"/>
                <w:szCs w:val="21"/>
                <w:lang w:eastAsia="zh-CN" w:bidi="ar"/>
              </w:rPr>
              <w:t>（提供有效</w:t>
            </w:r>
            <w:r>
              <w:rPr>
                <w:rFonts w:hint="eastAsia" w:ascii="宋体" w:hAnsi="宋体" w:eastAsia="宋体" w:cs="宋体"/>
                <w:color w:val="auto"/>
                <w:kern w:val="0"/>
                <w:sz w:val="21"/>
                <w:szCs w:val="21"/>
                <w:lang w:val="en-US" w:eastAsia="zh-CN" w:bidi="ar"/>
              </w:rPr>
              <w:t>证书及人员社保证明</w:t>
            </w:r>
            <w:r>
              <w:rPr>
                <w:rFonts w:hint="eastAsia" w:ascii="宋体" w:hAnsi="宋体" w:eastAsia="宋体" w:cs="宋体"/>
                <w:color w:val="auto"/>
                <w:kern w:val="0"/>
                <w:sz w:val="21"/>
                <w:szCs w:val="21"/>
                <w:lang w:eastAsia="zh-CN" w:bidi="ar"/>
              </w:rPr>
              <w:t>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sz w:val="21"/>
                <w:szCs w:val="21"/>
              </w:rPr>
            </w:pPr>
          </w:p>
        </w:tc>
        <w:tc>
          <w:tcPr>
            <w:tcW w:w="110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sz w:val="21"/>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为保证项目质量及售后服务，供应商</w:t>
            </w:r>
            <w:r>
              <w:rPr>
                <w:rFonts w:hint="eastAsia" w:cs="宋体"/>
                <w:color w:val="auto"/>
                <w:kern w:val="0"/>
                <w:sz w:val="21"/>
                <w:szCs w:val="21"/>
                <w:lang w:val="en-US" w:eastAsia="zh-CN" w:bidi="ar"/>
              </w:rPr>
              <w:t>应</w:t>
            </w:r>
            <w:r>
              <w:rPr>
                <w:rFonts w:hint="eastAsia" w:ascii="宋体" w:hAnsi="宋体" w:eastAsia="宋体" w:cs="宋体"/>
                <w:color w:val="auto"/>
                <w:kern w:val="0"/>
                <w:sz w:val="21"/>
                <w:szCs w:val="21"/>
                <w:lang w:val="en-US" w:eastAsia="zh-CN" w:bidi="ar"/>
              </w:rPr>
              <w:t>具备</w:t>
            </w:r>
            <w:r>
              <w:rPr>
                <w:rFonts w:hint="eastAsia" w:ascii="宋体" w:hAnsi="宋体" w:eastAsia="宋体" w:cs="宋体"/>
                <w:color w:val="auto"/>
                <w:kern w:val="0"/>
                <w:sz w:val="21"/>
                <w:szCs w:val="21"/>
                <w:lang w:eastAsia="zh-CN" w:bidi="ar"/>
              </w:rPr>
              <w:t>中国网络安全审查技术与认证中心（CCRC）出具的专业信息安全</w:t>
            </w:r>
            <w:r>
              <w:rPr>
                <w:rFonts w:hint="eastAsia" w:ascii="宋体" w:hAnsi="宋体" w:eastAsia="宋体" w:cs="宋体"/>
                <w:color w:val="auto"/>
                <w:kern w:val="0"/>
                <w:sz w:val="21"/>
                <w:szCs w:val="21"/>
                <w:lang w:val="en-US" w:eastAsia="zh-CN" w:bidi="ar"/>
              </w:rPr>
              <w:t>风险评估、安全审计</w:t>
            </w:r>
            <w:r>
              <w:rPr>
                <w:rFonts w:hint="eastAsia" w:cs="宋体"/>
                <w:color w:val="auto"/>
                <w:kern w:val="0"/>
                <w:sz w:val="21"/>
                <w:szCs w:val="21"/>
                <w:lang w:eastAsia="zh-CN" w:bidi="ar"/>
              </w:rPr>
              <w:t>，</w:t>
            </w:r>
            <w:r>
              <w:rPr>
                <w:rFonts w:hint="eastAsia" w:ascii="宋体" w:hAnsi="宋体" w:eastAsia="宋体" w:cs="宋体"/>
                <w:color w:val="auto"/>
                <w:kern w:val="0"/>
                <w:sz w:val="21"/>
                <w:szCs w:val="21"/>
                <w:lang w:eastAsia="zh-CN" w:bidi="ar"/>
              </w:rPr>
              <w:t>以上</w:t>
            </w:r>
            <w:r>
              <w:rPr>
                <w:rFonts w:hint="eastAsia" w:cs="宋体"/>
                <w:color w:val="auto"/>
                <w:kern w:val="0"/>
                <w:sz w:val="21"/>
                <w:szCs w:val="21"/>
                <w:lang w:val="en-US" w:eastAsia="zh-CN" w:bidi="ar"/>
              </w:rPr>
              <w:t>资质</w:t>
            </w:r>
            <w:r>
              <w:rPr>
                <w:rFonts w:hint="eastAsia" w:ascii="宋体" w:hAnsi="宋体" w:eastAsia="宋体" w:cs="宋体"/>
                <w:color w:val="auto"/>
                <w:kern w:val="0"/>
                <w:sz w:val="21"/>
                <w:szCs w:val="21"/>
                <w:lang w:eastAsia="zh-CN" w:bidi="ar"/>
              </w:rPr>
              <w:t>每提供一个得</w:t>
            </w:r>
            <w:r>
              <w:rPr>
                <w:rFonts w:hint="eastAsia" w:cs="宋体"/>
                <w:color w:val="auto"/>
                <w:kern w:val="0"/>
                <w:sz w:val="21"/>
                <w:szCs w:val="21"/>
                <w:lang w:val="en-US" w:eastAsia="zh-CN" w:bidi="ar"/>
              </w:rPr>
              <w:t>3</w:t>
            </w:r>
            <w:r>
              <w:rPr>
                <w:rFonts w:hint="eastAsia" w:ascii="宋体" w:hAnsi="宋体" w:eastAsia="宋体" w:cs="宋体"/>
                <w:color w:val="auto"/>
                <w:kern w:val="0"/>
                <w:sz w:val="21"/>
                <w:szCs w:val="21"/>
                <w:lang w:eastAsia="zh-CN" w:bidi="ar"/>
              </w:rPr>
              <w:t>分，本项最高得</w:t>
            </w:r>
            <w:r>
              <w:rPr>
                <w:rFonts w:hint="eastAsia" w:cs="宋体"/>
                <w:color w:val="auto"/>
                <w:kern w:val="0"/>
                <w:sz w:val="21"/>
                <w:szCs w:val="21"/>
                <w:lang w:val="en-US" w:eastAsia="zh-CN" w:bidi="ar"/>
              </w:rPr>
              <w:t>6</w:t>
            </w:r>
            <w:r>
              <w:rPr>
                <w:rFonts w:hint="eastAsia" w:ascii="宋体" w:hAnsi="宋体" w:eastAsia="宋体" w:cs="宋体"/>
                <w:color w:val="auto"/>
                <w:kern w:val="0"/>
                <w:sz w:val="21"/>
                <w:szCs w:val="21"/>
                <w:lang w:eastAsia="zh-CN" w:bidi="ar"/>
              </w:rPr>
              <w:t>分，</w:t>
            </w:r>
            <w:r>
              <w:rPr>
                <w:rFonts w:hint="eastAsia" w:cs="宋体"/>
                <w:color w:val="auto"/>
                <w:kern w:val="0"/>
                <w:sz w:val="21"/>
                <w:szCs w:val="21"/>
                <w:lang w:val="en-US" w:eastAsia="zh-CN" w:bidi="ar"/>
              </w:rPr>
              <w:t>未提供</w:t>
            </w:r>
            <w:r>
              <w:rPr>
                <w:rFonts w:hint="eastAsia" w:ascii="宋体" w:hAnsi="宋体" w:eastAsia="宋体" w:cs="宋体"/>
                <w:color w:val="auto"/>
                <w:kern w:val="0"/>
                <w:sz w:val="21"/>
                <w:szCs w:val="21"/>
                <w:lang w:eastAsia="zh-CN" w:bidi="ar"/>
              </w:rPr>
              <w:t>不得分。（须提供在有效期内的证书复印件并加盖供应商公章）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jc w:val="center"/>
        </w:trPr>
        <w:tc>
          <w:tcPr>
            <w:tcW w:w="879" w:type="dxa"/>
            <w:vMerge w:val="restart"/>
            <w:tcBorders>
              <w:left w:val="single" w:color="auto" w:sz="4" w:space="0"/>
              <w:right w:val="single" w:color="auto" w:sz="4" w:space="0"/>
            </w:tcBorders>
            <w:noWrap w:val="0"/>
            <w:vAlign w:val="center"/>
          </w:tcPr>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p>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p>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p>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p>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p>
          <w:p>
            <w:pPr>
              <w:pStyle w:val="18"/>
              <w:keepNext w:val="0"/>
              <w:keepLines w:val="0"/>
              <w:pageBreakBefore w:val="0"/>
              <w:suppressLineNumbers w:val="0"/>
              <w:kinsoku/>
              <w:wordWrap/>
              <w:overflowPunct/>
              <w:topLinePunct w:val="0"/>
              <w:autoSpaceDE w:val="0"/>
              <w:autoSpaceDN w:val="0"/>
              <w:bidi w:val="0"/>
              <w:adjustRightInd/>
              <w:snapToGrid/>
              <w:spacing w:beforeAutospacing="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技术</w:t>
            </w:r>
          </w:p>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部分（</w:t>
            </w:r>
            <w:r>
              <w:rPr>
                <w:rFonts w:hint="eastAsia" w:cs="宋体"/>
                <w:b w:val="0"/>
                <w:bCs w:val="0"/>
                <w:color w:val="auto"/>
                <w:kern w:val="0"/>
                <w:sz w:val="21"/>
                <w:szCs w:val="21"/>
                <w:lang w:val="en-US" w:eastAsia="zh-CN" w:bidi="ar"/>
              </w:rPr>
              <w:t>30</w:t>
            </w:r>
            <w:r>
              <w:rPr>
                <w:rFonts w:hint="eastAsia" w:ascii="宋体" w:hAnsi="宋体" w:eastAsia="宋体" w:cs="宋体"/>
                <w:b w:val="0"/>
                <w:bCs w:val="0"/>
                <w:color w:val="auto"/>
                <w:kern w:val="0"/>
                <w:sz w:val="21"/>
                <w:szCs w:val="21"/>
                <w:lang w:val="en-US" w:eastAsia="zh-CN" w:bidi="ar"/>
              </w:rPr>
              <w:t>分）</w:t>
            </w:r>
          </w:p>
        </w:tc>
        <w:tc>
          <w:tcPr>
            <w:tcW w:w="1107"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定级备案</w:t>
            </w:r>
          </w:p>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及安全建设咨询服务</w:t>
            </w:r>
          </w:p>
        </w:tc>
        <w:tc>
          <w:tcPr>
            <w:tcW w:w="694"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eastAsia="宋体" w:cs="宋体"/>
                <w:b w:val="0"/>
                <w:bCs w:val="0"/>
                <w:color w:val="auto"/>
                <w:kern w:val="0"/>
                <w:sz w:val="21"/>
                <w:szCs w:val="21"/>
                <w:lang w:val="en-US" w:eastAsia="zh-CN" w:bidi="ar"/>
              </w:rPr>
            </w:pPr>
            <w:r>
              <w:rPr>
                <w:rFonts w:hint="eastAsia" w:cs="宋体"/>
                <w:b w:val="0"/>
                <w:bCs w:val="0"/>
                <w:color w:val="auto"/>
                <w:kern w:val="0"/>
                <w:sz w:val="21"/>
                <w:szCs w:val="21"/>
                <w:lang w:val="en-US" w:eastAsia="zh-CN" w:bidi="ar"/>
              </w:rPr>
              <w:t>10</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4"/>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在对应定级备案服务工作方案中：</w:t>
            </w:r>
          </w:p>
          <w:p>
            <w:pPr>
              <w:keepNext w:val="0"/>
              <w:keepLines w:val="0"/>
              <w:pageBreakBefore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承诺严格依据《网络安全等级保护定级指南》（GB/T 22240-2020）等技术标准要求，对信息系统开展信息系统调查、定级对象分析、定级要素分析、撰写定级报告，组织对信息系统定级进行专家评审，出具公安机关认可的专家评审意见，整理全套定级备案材料。完全满足以上要求，得</w:t>
            </w:r>
            <w:r>
              <w:rPr>
                <w:rFonts w:hint="eastAsia" w:cs="宋体"/>
                <w:b w:val="0"/>
                <w:bCs w:val="0"/>
                <w:color w:val="auto"/>
                <w:kern w:val="0"/>
                <w:sz w:val="21"/>
                <w:szCs w:val="21"/>
                <w:lang w:val="en-US" w:eastAsia="zh-CN" w:bidi="ar"/>
              </w:rPr>
              <w:t>5</w:t>
            </w:r>
            <w:r>
              <w:rPr>
                <w:rFonts w:hint="eastAsia" w:ascii="宋体" w:hAnsi="宋体" w:eastAsia="宋体" w:cs="宋体"/>
                <w:b w:val="0"/>
                <w:bCs w:val="0"/>
                <w:color w:val="auto"/>
                <w:kern w:val="0"/>
                <w:sz w:val="21"/>
                <w:szCs w:val="21"/>
                <w:lang w:val="en-US" w:eastAsia="zh-CN" w:bidi="ar"/>
              </w:rPr>
              <w:t>分，否则不得分。</w:t>
            </w:r>
          </w:p>
          <w:p>
            <w:pPr>
              <w:keepNext w:val="0"/>
              <w:keepLines w:val="0"/>
              <w:pageBreakBefore w:val="0"/>
              <w:numPr>
                <w:ilvl w:val="0"/>
                <w:numId w:val="14"/>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能按要求编制对应的安全整改建设方案：</w:t>
            </w:r>
          </w:p>
          <w:p>
            <w:pPr>
              <w:keepNext w:val="0"/>
              <w:keepLines w:val="0"/>
              <w:pageBreakBefore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测评完成后根据测评结果，依据《网络安全等级保护管理办法》、《网络安全等级保护基本要求》、《信息系统安全保护实施指南》等相关等级保护技术标准和管理规范要求，汇编信息系统安全管理制度，出具被测评信息系统《网络安全建设整改建议》，并协助采购方完成被测评信息系统的安全整改，完善信息系统安全防护措施，规划整体安全架构。完全满足以上要求，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p>
        </w:tc>
        <w:tc>
          <w:tcPr>
            <w:tcW w:w="1107"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安全等级</w:t>
            </w:r>
          </w:p>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测评服务</w:t>
            </w:r>
          </w:p>
        </w:tc>
        <w:tc>
          <w:tcPr>
            <w:tcW w:w="694"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10</w:t>
            </w:r>
          </w:p>
        </w:tc>
        <w:tc>
          <w:tcPr>
            <w:tcW w:w="7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5"/>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zh-CN" w:eastAsia="zh-CN" w:bidi="ar"/>
              </w:rPr>
              <w:t>依据《网络安全等级保护基本要求》（GB/T 22239-2019）、《网络安全等级保护测评要求》（GB/T 28448-2019）、《网络安全等级保护测试评估技术指南》（GB/T 36627-2018）等政策法规和标准规范要求（如有新版标准，以新版为准），逐一对信息系统进行安全保护等级测评和评估，开展信息系统等级保护测评工作，测评目标包</w:t>
            </w:r>
            <w:r>
              <w:rPr>
                <w:rFonts w:hint="eastAsia" w:ascii="宋体" w:hAnsi="宋体" w:eastAsia="宋体" w:cs="宋体"/>
                <w:b w:val="0"/>
                <w:bCs w:val="0"/>
                <w:color w:val="auto"/>
                <w:kern w:val="0"/>
                <w:sz w:val="21"/>
                <w:szCs w:val="21"/>
                <w:lang w:val="en-US" w:eastAsia="zh-CN" w:bidi="ar"/>
              </w:rPr>
              <w:t>括</w:t>
            </w:r>
            <w:r>
              <w:rPr>
                <w:rFonts w:hint="eastAsia" w:ascii="宋体" w:hAnsi="宋体" w:eastAsia="宋体" w:cs="宋体"/>
                <w:b w:val="0"/>
                <w:bCs w:val="0"/>
                <w:color w:val="auto"/>
                <w:kern w:val="0"/>
                <w:sz w:val="21"/>
                <w:szCs w:val="21"/>
                <w:lang w:val="zh-CN" w:eastAsia="zh-CN" w:bidi="ar"/>
              </w:rPr>
              <w:t>服务内容所涵盖的系统。</w:t>
            </w:r>
            <w:r>
              <w:rPr>
                <w:rFonts w:hint="eastAsia" w:ascii="宋体" w:hAnsi="宋体" w:eastAsia="宋体" w:cs="宋体"/>
                <w:b w:val="0"/>
                <w:bCs w:val="0"/>
                <w:color w:val="auto"/>
                <w:kern w:val="0"/>
                <w:sz w:val="21"/>
                <w:szCs w:val="21"/>
                <w:lang w:val="en-US" w:eastAsia="zh-CN" w:bidi="ar"/>
              </w:rPr>
              <w:t>完全满足以上要求，得2分，否则不得分。</w:t>
            </w:r>
          </w:p>
          <w:p>
            <w:pPr>
              <w:keepNext w:val="0"/>
              <w:keepLines w:val="0"/>
              <w:pageBreakBefore w:val="0"/>
              <w:numPr>
                <w:ilvl w:val="0"/>
                <w:numId w:val="15"/>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zh-CN" w:eastAsia="zh-CN" w:bidi="ar"/>
              </w:rPr>
              <w:t>测评范围为项目目标所涉及的机房基础设施、网络环境、主机层面、应用层、数据库层及相关安全辅助设备与管理制度</w:t>
            </w:r>
            <w:r>
              <w:rPr>
                <w:rFonts w:hint="eastAsia" w:ascii="宋体" w:hAnsi="宋体" w:eastAsia="宋体" w:cs="宋体"/>
                <w:b w:val="0"/>
                <w:bCs w:val="0"/>
                <w:color w:val="auto"/>
                <w:kern w:val="0"/>
                <w:sz w:val="21"/>
                <w:szCs w:val="21"/>
                <w:lang w:val="en-US" w:eastAsia="zh-CN" w:bidi="ar"/>
              </w:rPr>
              <w:t>等</w:t>
            </w:r>
            <w:r>
              <w:rPr>
                <w:rFonts w:hint="eastAsia" w:ascii="宋体" w:hAnsi="宋体" w:eastAsia="宋体" w:cs="宋体"/>
                <w:b w:val="0"/>
                <w:bCs w:val="0"/>
                <w:color w:val="auto"/>
                <w:kern w:val="0"/>
                <w:sz w:val="21"/>
                <w:szCs w:val="21"/>
                <w:lang w:val="zh-CN" w:eastAsia="zh-CN" w:bidi="ar"/>
              </w:rPr>
              <w:t>。</w:t>
            </w:r>
            <w:r>
              <w:rPr>
                <w:rFonts w:hint="eastAsia" w:ascii="宋体" w:hAnsi="宋体" w:eastAsia="宋体" w:cs="宋体"/>
                <w:b w:val="0"/>
                <w:bCs w:val="0"/>
                <w:color w:val="auto"/>
                <w:kern w:val="0"/>
                <w:sz w:val="21"/>
                <w:szCs w:val="21"/>
                <w:lang w:val="en-US" w:eastAsia="zh-CN" w:bidi="ar"/>
              </w:rPr>
              <w:t>完全满足以上要求，得2分，否则不得分。</w:t>
            </w:r>
          </w:p>
          <w:p>
            <w:pPr>
              <w:keepNext w:val="0"/>
              <w:keepLines w:val="0"/>
              <w:pageBreakBefore w:val="0"/>
              <w:numPr>
                <w:ilvl w:val="0"/>
                <w:numId w:val="15"/>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zh-CN" w:eastAsia="zh-CN" w:bidi="ar"/>
              </w:rPr>
            </w:pPr>
            <w:r>
              <w:rPr>
                <w:rFonts w:hint="eastAsia" w:ascii="宋体" w:hAnsi="宋体" w:eastAsia="宋体" w:cs="宋体"/>
                <w:b w:val="0"/>
                <w:bCs w:val="0"/>
                <w:color w:val="auto"/>
                <w:kern w:val="0"/>
                <w:sz w:val="21"/>
                <w:szCs w:val="21"/>
                <w:lang w:val="zh-CN" w:eastAsia="zh-CN" w:bidi="ar"/>
              </w:rPr>
              <w:t>在响应文件中提供了编制安全等级测评工作方案和初步计划安排，</w:t>
            </w:r>
            <w:r>
              <w:rPr>
                <w:rFonts w:hint="eastAsia" w:ascii="宋体" w:hAnsi="宋体" w:eastAsia="宋体" w:cs="宋体"/>
                <w:b w:val="0"/>
                <w:bCs w:val="0"/>
                <w:color w:val="auto"/>
                <w:kern w:val="0"/>
                <w:sz w:val="21"/>
                <w:szCs w:val="21"/>
                <w:lang w:val="en-US" w:eastAsia="zh-CN" w:bidi="ar"/>
              </w:rPr>
              <w:t>且编制的</w:t>
            </w:r>
            <w:r>
              <w:rPr>
                <w:rFonts w:hint="eastAsia" w:ascii="宋体" w:hAnsi="宋体" w:eastAsia="宋体" w:cs="宋体"/>
                <w:b w:val="0"/>
                <w:bCs w:val="0"/>
                <w:color w:val="auto"/>
                <w:kern w:val="0"/>
                <w:sz w:val="21"/>
                <w:szCs w:val="21"/>
                <w:lang w:val="zh-CN" w:eastAsia="zh-CN" w:bidi="ar"/>
              </w:rPr>
              <w:t>测评工作方案和初步计划安排要求包含保障措施、进度计划目标承诺及惩罚措施，措施内容</w:t>
            </w:r>
            <w:r>
              <w:rPr>
                <w:rFonts w:hint="eastAsia" w:ascii="宋体" w:hAnsi="宋体" w:eastAsia="宋体" w:cs="宋体"/>
                <w:b w:val="0"/>
                <w:bCs w:val="0"/>
                <w:color w:val="auto"/>
                <w:kern w:val="0"/>
                <w:sz w:val="21"/>
                <w:szCs w:val="21"/>
                <w:lang w:val="en-US" w:eastAsia="zh-CN" w:bidi="ar"/>
              </w:rPr>
              <w:t>详细、切实可行、针对性强，每满足一项</w:t>
            </w:r>
            <w:r>
              <w:rPr>
                <w:rFonts w:hint="eastAsia" w:ascii="宋体" w:hAnsi="宋体" w:eastAsia="宋体" w:cs="宋体"/>
                <w:b w:val="0"/>
                <w:bCs w:val="0"/>
                <w:color w:val="auto"/>
                <w:kern w:val="0"/>
                <w:sz w:val="21"/>
                <w:szCs w:val="21"/>
                <w:lang w:val="zh-CN" w:eastAsia="zh-CN" w:bidi="ar"/>
              </w:rPr>
              <w:t>得</w:t>
            </w: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val="zh-CN" w:eastAsia="zh-CN" w:bidi="ar"/>
              </w:rPr>
              <w:t>分，满分</w:t>
            </w:r>
            <w:r>
              <w:rPr>
                <w:rFonts w:hint="eastAsia" w:ascii="宋体" w:hAnsi="宋体" w:eastAsia="宋体" w:cs="宋体"/>
                <w:b w:val="0"/>
                <w:bCs w:val="0"/>
                <w:color w:val="auto"/>
                <w:kern w:val="0"/>
                <w:sz w:val="21"/>
                <w:szCs w:val="21"/>
                <w:lang w:val="en-US" w:eastAsia="zh-CN" w:bidi="ar"/>
              </w:rPr>
              <w:t>3分。</w:t>
            </w:r>
          </w:p>
          <w:p>
            <w:pPr>
              <w:keepNext w:val="0"/>
              <w:keepLines w:val="0"/>
              <w:pageBreakBefore w:val="0"/>
              <w:numPr>
                <w:ilvl w:val="0"/>
                <w:numId w:val="15"/>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按要求完成等级保护测评工作。承诺依据政策要求、技术标准和管理规范对各信息系统进行等级保护测评，主要包括以下内容：1）安全技术测评、2）安全管理测评、3）系统整体测评。</w:t>
            </w:r>
          </w:p>
          <w:p>
            <w:pPr>
              <w:keepNext w:val="0"/>
              <w:keepLines w:val="0"/>
              <w:pageBreakBefore w:val="0"/>
              <w:numPr>
                <w:ilvl w:val="0"/>
                <w:numId w:val="15"/>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zh-CN" w:eastAsia="zh-CN" w:bidi="ar"/>
              </w:rPr>
            </w:pPr>
            <w:r>
              <w:rPr>
                <w:rFonts w:hint="eastAsia" w:ascii="宋体" w:hAnsi="宋体" w:eastAsia="宋体" w:cs="宋体"/>
                <w:b w:val="0"/>
                <w:bCs w:val="0"/>
                <w:color w:val="auto"/>
                <w:kern w:val="0"/>
                <w:sz w:val="21"/>
                <w:szCs w:val="21"/>
                <w:lang w:val="en-US" w:eastAsia="zh-CN" w:bidi="ar"/>
              </w:rPr>
              <w:t>承诺测评对象主要包括以下内容：1）物理环境部分、2）机房网络设备、3）机房安全设备、4）主机服务器部分、5）数据库部分、6）涉及到被测评的信息系统所有管理制度和相关记录证明文件、7）国家关于网络安全等级保护测评要求的其他内容。完全满足以上要求，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jc w:val="center"/>
        </w:trPr>
        <w:tc>
          <w:tcPr>
            <w:tcW w:w="879"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p>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p>
        </w:tc>
        <w:tc>
          <w:tcPr>
            <w:tcW w:w="1107"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质量控制及保证措施</w:t>
            </w:r>
          </w:p>
        </w:tc>
        <w:tc>
          <w:tcPr>
            <w:tcW w:w="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eastAsia="宋体" w:cs="宋体"/>
                <w:b w:val="0"/>
                <w:bCs w:val="0"/>
                <w:color w:val="auto"/>
                <w:kern w:val="0"/>
                <w:sz w:val="21"/>
                <w:szCs w:val="21"/>
                <w:lang w:val="en-US" w:eastAsia="zh-CN" w:bidi="ar"/>
              </w:rPr>
            </w:pPr>
            <w:r>
              <w:rPr>
                <w:rFonts w:hint="eastAsia" w:cs="宋体"/>
                <w:b w:val="0"/>
                <w:bCs w:val="0"/>
                <w:color w:val="auto"/>
                <w:kern w:val="0"/>
                <w:sz w:val="21"/>
                <w:szCs w:val="21"/>
                <w:lang w:val="en-US" w:eastAsia="zh-CN" w:bidi="ar"/>
              </w:rPr>
              <w:t>10</w:t>
            </w:r>
          </w:p>
        </w:tc>
        <w:tc>
          <w:tcPr>
            <w:tcW w:w="717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6"/>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测评实施中应对信息系统的正常运行不产生明显影响，提出了最小影响控制措施方案，方案内容准确详细、切实可行、针对性强，每满足一项</w:t>
            </w:r>
            <w:r>
              <w:rPr>
                <w:rFonts w:hint="eastAsia" w:ascii="宋体" w:hAnsi="宋体" w:eastAsia="宋体" w:cs="宋体"/>
                <w:b w:val="0"/>
                <w:bCs w:val="0"/>
                <w:color w:val="auto"/>
                <w:kern w:val="0"/>
                <w:sz w:val="21"/>
                <w:szCs w:val="21"/>
                <w:lang w:val="zh-CN" w:eastAsia="zh-CN" w:bidi="ar"/>
              </w:rPr>
              <w:t>得</w:t>
            </w: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val="zh-CN" w:eastAsia="zh-CN" w:bidi="ar"/>
              </w:rPr>
              <w:t>分，满分</w:t>
            </w:r>
            <w:r>
              <w:rPr>
                <w:rFonts w:hint="eastAsia"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val="en-US" w:eastAsia="zh-CN" w:bidi="ar"/>
              </w:rPr>
              <w:t>分。</w:t>
            </w:r>
          </w:p>
          <w:p>
            <w:pPr>
              <w:keepNext w:val="0"/>
              <w:keepLines w:val="0"/>
              <w:pageBreakBefore w:val="0"/>
              <w:numPr>
                <w:ilvl w:val="0"/>
                <w:numId w:val="16"/>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根据测评范围界定的系统情况，在实施前制定应急预案，内容详细、切实可行、针对性强，每满足一项</w:t>
            </w:r>
            <w:r>
              <w:rPr>
                <w:rFonts w:hint="eastAsia" w:ascii="宋体" w:hAnsi="宋体" w:eastAsia="宋体" w:cs="宋体"/>
                <w:b w:val="0"/>
                <w:bCs w:val="0"/>
                <w:color w:val="auto"/>
                <w:kern w:val="0"/>
                <w:sz w:val="21"/>
                <w:szCs w:val="21"/>
                <w:lang w:val="zh-CN" w:eastAsia="zh-CN" w:bidi="ar"/>
              </w:rPr>
              <w:t>得</w:t>
            </w: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val="zh-CN" w:eastAsia="zh-CN" w:bidi="ar"/>
              </w:rPr>
              <w:t>分，满分</w:t>
            </w:r>
            <w:r>
              <w:rPr>
                <w:rFonts w:hint="eastAsia"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val="en-US" w:eastAsia="zh-CN" w:bidi="ar"/>
              </w:rPr>
              <w:t>分</w:t>
            </w:r>
            <w:r>
              <w:rPr>
                <w:rFonts w:hint="eastAsia" w:ascii="宋体" w:hAnsi="宋体" w:eastAsia="宋体" w:cs="宋体"/>
                <w:b w:val="0"/>
                <w:bCs w:val="0"/>
                <w:color w:val="auto"/>
                <w:kern w:val="0"/>
                <w:sz w:val="21"/>
                <w:szCs w:val="21"/>
                <w:lang w:val="zh-CN" w:eastAsia="zh-CN" w:bidi="ar"/>
              </w:rPr>
              <w:t>。</w:t>
            </w:r>
          </w:p>
          <w:p>
            <w:pPr>
              <w:keepNext w:val="0"/>
              <w:keepLines w:val="0"/>
              <w:pageBreakBefore w:val="0"/>
              <w:numPr>
                <w:ilvl w:val="0"/>
                <w:numId w:val="16"/>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提出质量控制及保证措施方案，包含项目质量控制及保证措施，内容详细、切实可行、针对性强，每满足一项</w:t>
            </w:r>
            <w:r>
              <w:rPr>
                <w:rFonts w:hint="eastAsia" w:ascii="宋体" w:hAnsi="宋体" w:eastAsia="宋体" w:cs="宋体"/>
                <w:b w:val="0"/>
                <w:bCs w:val="0"/>
                <w:color w:val="auto"/>
                <w:kern w:val="0"/>
                <w:sz w:val="21"/>
                <w:szCs w:val="21"/>
                <w:lang w:val="zh-CN" w:eastAsia="zh-CN" w:bidi="ar"/>
              </w:rPr>
              <w:t>得</w:t>
            </w: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val="zh-CN" w:eastAsia="zh-CN" w:bidi="ar"/>
              </w:rPr>
              <w:t>分，满分</w:t>
            </w:r>
            <w:r>
              <w:rPr>
                <w:rFonts w:hint="eastAsia"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val="en-US" w:eastAsia="zh-CN" w:bidi="ar"/>
              </w:rPr>
              <w:t>分。</w:t>
            </w:r>
          </w:p>
          <w:p>
            <w:pPr>
              <w:keepNext w:val="0"/>
              <w:keepLines w:val="0"/>
              <w:pageBreakBefore w:val="0"/>
              <w:numPr>
                <w:ilvl w:val="0"/>
                <w:numId w:val="16"/>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textAlignment w:val="auto"/>
              <w:rPr>
                <w:rFonts w:hint="eastAsia"/>
                <w:sz w:val="21"/>
                <w:szCs w:val="21"/>
                <w:lang w:val="en-US" w:eastAsia="zh-CN"/>
              </w:rPr>
            </w:pPr>
            <w:r>
              <w:rPr>
                <w:rFonts w:hint="eastAsia" w:ascii="宋体" w:hAnsi="宋体" w:eastAsia="宋体" w:cs="宋体"/>
                <w:b w:val="0"/>
                <w:bCs w:val="0"/>
                <w:color w:val="auto"/>
                <w:kern w:val="0"/>
                <w:sz w:val="21"/>
                <w:szCs w:val="21"/>
                <w:lang w:val="en-US" w:eastAsia="zh-CN" w:bidi="ar"/>
              </w:rPr>
              <w:t>承诺因供应商测评报告质量原因无法完成备案，测评机构无条件整改。提供加盖供应商单位公章的书面承诺，得</w:t>
            </w:r>
            <w:r>
              <w:rPr>
                <w:rFonts w:hint="eastAsia"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856" w:type="dxa"/>
            <w:gridSpan w:val="4"/>
            <w:tcBorders>
              <w:left w:val="single" w:color="auto" w:sz="4" w:space="0"/>
              <w:right w:val="single" w:color="auto" w:sz="4" w:space="0"/>
            </w:tcBorders>
            <w:noWrap w:val="0"/>
            <w:vAlign w:val="center"/>
          </w:tcPr>
          <w:p>
            <w:pPr>
              <w:pStyle w:val="12"/>
              <w:keepNext w:val="0"/>
              <w:keepLines w:val="0"/>
              <w:pageBreakBefore w:val="0"/>
              <w:suppressLineNumbers w:val="0"/>
              <w:kinsoku/>
              <w:wordWrap/>
              <w:overflowPunct/>
              <w:topLinePunct w:val="0"/>
              <w:autoSpaceDE w:val="0"/>
              <w:autoSpaceDN w:val="0"/>
              <w:bidi w:val="0"/>
              <w:adjustRightInd/>
              <w:snapToGrid/>
              <w:spacing w:before="0" w:beforeAutospacing="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1.总得分相同时确定排序的原则：以商务部分得分高的排名靠前；商务标仍相同的，以技术部分得分高的排名靠前。</w:t>
            </w:r>
          </w:p>
          <w:p>
            <w:pPr>
              <w:pStyle w:val="12"/>
              <w:keepNext w:val="0"/>
              <w:keepLines w:val="0"/>
              <w:pageBreakBefore w:val="0"/>
              <w:suppressLineNumbers w:val="0"/>
              <w:kinsoku/>
              <w:wordWrap/>
              <w:overflowPunct/>
              <w:topLinePunct w:val="0"/>
              <w:autoSpaceDE w:val="0"/>
              <w:autoSpaceDN w:val="0"/>
              <w:bidi w:val="0"/>
              <w:adjustRightInd/>
              <w:snapToGrid/>
              <w:spacing w:before="0" w:beforeAutospacing="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2.磋商报价如果出现算术修正，并经供应商确认后，应以修正后的报价进行评审。</w:t>
            </w:r>
          </w:p>
          <w:p>
            <w:pPr>
              <w:pStyle w:val="12"/>
              <w:keepNext w:val="0"/>
              <w:keepLines w:val="0"/>
              <w:pageBreakBefore w:val="0"/>
              <w:suppressLineNumbers w:val="0"/>
              <w:kinsoku/>
              <w:wordWrap/>
              <w:overflowPunct/>
              <w:topLinePunct w:val="0"/>
              <w:autoSpaceDE w:val="0"/>
              <w:autoSpaceDN w:val="0"/>
              <w:bidi w:val="0"/>
              <w:adjustRightInd/>
              <w:snapToGrid/>
              <w:spacing w:before="0" w:beforeAutospacing="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3.各供应商的最终得分计算方式为：</w:t>
            </w:r>
          </w:p>
          <w:p>
            <w:pPr>
              <w:pStyle w:val="12"/>
              <w:keepNext w:val="0"/>
              <w:keepLines w:val="0"/>
              <w:pageBreakBefore w:val="0"/>
              <w:suppressLineNumbers w:val="0"/>
              <w:kinsoku/>
              <w:wordWrap/>
              <w:overflowPunct/>
              <w:topLinePunct w:val="0"/>
              <w:autoSpaceDE w:val="0"/>
              <w:autoSpaceDN w:val="0"/>
              <w:bidi w:val="0"/>
              <w:adjustRightInd/>
              <w:snapToGrid/>
              <w:spacing w:before="0" w:beforeAutospacing="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sym w:font="Wingdings 2" w:char="0052"/>
            </w:r>
            <w:r>
              <w:rPr>
                <w:rFonts w:hint="eastAsia" w:ascii="宋体" w:hAnsi="宋体" w:eastAsia="宋体" w:cs="宋体"/>
                <w:b w:val="0"/>
                <w:bCs w:val="0"/>
                <w:color w:val="auto"/>
                <w:kern w:val="0"/>
                <w:sz w:val="21"/>
                <w:szCs w:val="21"/>
                <w:lang w:val="en-US" w:eastAsia="zh-CN" w:bidi="ar"/>
              </w:rPr>
              <w:t>各评委对其总评分的算术平均值</w:t>
            </w:r>
          </w:p>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sym w:font="Wingdings 2" w:char="00A3"/>
            </w:r>
            <w:r>
              <w:rPr>
                <w:rFonts w:hint="eastAsia" w:ascii="宋体" w:hAnsi="宋体" w:eastAsia="宋体" w:cs="宋体"/>
                <w:b w:val="0"/>
                <w:bCs w:val="0"/>
                <w:color w:val="auto"/>
                <w:kern w:val="0"/>
                <w:sz w:val="21"/>
                <w:szCs w:val="21"/>
                <w:lang w:val="en-US" w:eastAsia="zh-CN" w:bidi="ar"/>
              </w:rPr>
              <w:t xml:space="preserve">各评委对其总评分去掉一个最高分和一个最低分后的算术平均值 </w:t>
            </w:r>
          </w:p>
        </w:tc>
      </w:tr>
    </w:tbl>
    <w:p>
      <w:pPr>
        <w:pStyle w:val="14"/>
        <w:ind w:left="0" w:leftChars="0" w:firstLine="0" w:firstLineChars="0"/>
        <w:rPr>
          <w:rFonts w:hint="eastAsia"/>
          <w:sz w:val="28"/>
          <w:szCs w:val="28"/>
        </w:rPr>
      </w:pPr>
    </w:p>
    <w:p>
      <w:pPr>
        <w:pStyle w:val="43"/>
        <w:ind w:left="0" w:leftChars="0" w:firstLine="0" w:firstLineChars="0"/>
        <w:rPr>
          <w:rFonts w:asciiTheme="minorEastAsia" w:hAnsiTheme="minorEastAsia"/>
          <w:b/>
          <w:bCs/>
          <w:sz w:val="28"/>
          <w:szCs w:val="28"/>
        </w:rPr>
      </w:pPr>
      <w:r>
        <w:rPr>
          <w:rFonts w:hint="eastAsia" w:asciiTheme="minorEastAsia" w:hAnsiTheme="minorEastAsia" w:cstheme="minorEastAsia"/>
          <w:b/>
          <w:bCs/>
          <w:sz w:val="28"/>
          <w:szCs w:val="28"/>
          <w:highlight w:val="none"/>
          <w:lang w:val="en-US" w:eastAsia="zh-CN"/>
        </w:rPr>
        <w:t>一、</w:t>
      </w:r>
      <w:r>
        <w:rPr>
          <w:rFonts w:asciiTheme="minorEastAsia" w:hAnsiTheme="minorEastAsia"/>
          <w:b/>
          <w:bCs/>
          <w:sz w:val="28"/>
          <w:szCs w:val="28"/>
        </w:rPr>
        <w:t>供应商资质要求：</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lang w:val="en-US" w:eastAsia="zh-CN"/>
        </w:rPr>
        <w:t>3.1.1</w:t>
      </w:r>
      <w:r>
        <w:rPr>
          <w:rFonts w:hint="eastAsia" w:asciiTheme="minorEastAsia" w:hAnsiTheme="minorEastAsia"/>
          <w:sz w:val="28"/>
          <w:szCs w:val="28"/>
        </w:rPr>
        <w:t xml:space="preserve"> </w:t>
      </w:r>
      <w:r>
        <w:rPr>
          <w:rFonts w:asciiTheme="minorEastAsia" w:hAnsiTheme="minorEastAsia"/>
          <w:sz w:val="28"/>
          <w:szCs w:val="28"/>
        </w:rPr>
        <w:t>供应商应是注册于中华人民共和国的独立企业法人，满足采购文件要求资格的企业</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lang w:val="en-US" w:eastAsia="zh-CN"/>
        </w:rPr>
        <w:t xml:space="preserve">3.1.2 </w:t>
      </w:r>
      <w:r>
        <w:rPr>
          <w:rFonts w:asciiTheme="minorEastAsia" w:hAnsiTheme="minorEastAsia"/>
          <w:sz w:val="28"/>
          <w:szCs w:val="28"/>
        </w:rPr>
        <w:t>符合政府采购法第二十二条规定的供应商资格条件</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①具有独立承担民事责任的能力；</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②具有良好的</w:t>
      </w:r>
      <w:r>
        <w:rPr>
          <w:rFonts w:hint="eastAsia" w:asciiTheme="minorEastAsia" w:hAnsiTheme="minorEastAsia"/>
          <w:sz w:val="28"/>
          <w:szCs w:val="28"/>
          <w:lang w:val="en-US" w:eastAsia="zh-CN"/>
        </w:rPr>
        <w:t>服务</w:t>
      </w:r>
      <w:r>
        <w:rPr>
          <w:rFonts w:asciiTheme="minorEastAsia" w:hAnsiTheme="minorEastAsia"/>
          <w:sz w:val="28"/>
          <w:szCs w:val="28"/>
        </w:rPr>
        <w:t>信誉和健全的财务会计制度；</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③具有履行合同所必需的设备和专业技术</w:t>
      </w:r>
      <w:r>
        <w:rPr>
          <w:rFonts w:hint="eastAsia" w:asciiTheme="minorEastAsia" w:hAnsiTheme="minorEastAsia"/>
          <w:sz w:val="28"/>
          <w:szCs w:val="28"/>
          <w:lang w:val="en-US" w:eastAsia="zh-CN"/>
        </w:rPr>
        <w:t>人员</w:t>
      </w:r>
      <w:r>
        <w:rPr>
          <w:rFonts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④</w:t>
      </w:r>
      <w:r>
        <w:rPr>
          <w:rFonts w:hint="eastAsia" w:asciiTheme="minorEastAsia" w:hAnsiTheme="minorEastAsia"/>
          <w:sz w:val="28"/>
          <w:szCs w:val="28"/>
          <w:lang w:val="en-US" w:eastAsia="zh-CN"/>
        </w:rPr>
        <w:t>具</w:t>
      </w:r>
      <w:r>
        <w:rPr>
          <w:rFonts w:asciiTheme="minorEastAsia" w:hAnsiTheme="minorEastAsia"/>
          <w:sz w:val="28"/>
          <w:szCs w:val="28"/>
        </w:rPr>
        <w:t>有依法缴纳税收和社会保障资金的良好记录；</w:t>
      </w:r>
    </w:p>
    <w:p>
      <w:pPr>
        <w:spacing w:line="360" w:lineRule="auto"/>
        <w:ind w:firstLine="560" w:firstLineChars="200"/>
        <w:rPr>
          <w:rFonts w:hint="eastAsia" w:asciiTheme="minorEastAsia" w:hAnsiTheme="minorEastAsia" w:eastAsiaTheme="minorEastAsia" w:cstheme="minorEastAsia"/>
          <w:sz w:val="28"/>
          <w:szCs w:val="28"/>
          <w:highlight w:val="none"/>
        </w:rPr>
      </w:pPr>
      <w:r>
        <w:rPr>
          <w:rFonts w:asciiTheme="minorEastAsia" w:hAnsiTheme="minorEastAsia"/>
          <w:sz w:val="28"/>
          <w:szCs w:val="28"/>
        </w:rPr>
        <w:t>⑤</w:t>
      </w:r>
      <w:r>
        <w:rPr>
          <w:rFonts w:hint="eastAsia" w:asciiTheme="minorEastAsia" w:hAnsiTheme="minorEastAsia" w:eastAsiaTheme="minorEastAsia" w:cstheme="minorEastAsia"/>
          <w:sz w:val="28"/>
          <w:szCs w:val="28"/>
          <w:highlight w:val="none"/>
        </w:rPr>
        <w:t>参加本次投标活动前三年内，</w:t>
      </w:r>
      <w:r>
        <w:rPr>
          <w:rFonts w:hint="eastAsia" w:asciiTheme="minorEastAsia" w:hAnsiTheme="minorEastAsia" w:eastAsiaTheme="minorEastAsia" w:cstheme="minorEastAsia"/>
          <w:spacing w:val="-9"/>
          <w:sz w:val="28"/>
          <w:szCs w:val="28"/>
          <w:highlight w:val="none"/>
        </w:rPr>
        <w:t>在服务活动中没有重大违法记录；</w:t>
      </w:r>
      <w:r>
        <w:rPr>
          <w:rFonts w:hint="eastAsia" w:asciiTheme="minorEastAsia" w:hAnsiTheme="minorEastAsia" w:eastAsiaTheme="minorEastAsia" w:cstheme="minorEastAsia"/>
          <w:sz w:val="28"/>
          <w:szCs w:val="28"/>
          <w:highlight w:val="none"/>
        </w:rPr>
        <w:t> </w:t>
      </w:r>
    </w:p>
    <w:p>
      <w:pPr>
        <w:spacing w:line="360" w:lineRule="auto"/>
        <w:ind w:firstLine="560" w:firstLineChars="200"/>
        <w:rPr>
          <w:rFonts w:hint="eastAsia" w:asciiTheme="minorEastAsia" w:hAnsiTheme="minorEastAsia" w:eastAsiaTheme="minorEastAsia" w:cstheme="minorEastAsia"/>
          <w:sz w:val="28"/>
          <w:szCs w:val="28"/>
          <w:highlight w:val="none"/>
        </w:rPr>
      </w:pPr>
      <w:r>
        <w:rPr>
          <w:rFonts w:asciiTheme="minorEastAsia" w:hAnsiTheme="minorEastAsia"/>
          <w:sz w:val="28"/>
          <w:szCs w:val="28"/>
        </w:rPr>
        <w:t>⑥</w:t>
      </w:r>
      <w:r>
        <w:rPr>
          <w:rFonts w:hint="eastAsia" w:asciiTheme="minorEastAsia" w:hAnsiTheme="minorEastAsia" w:eastAsiaTheme="minorEastAsia" w:cstheme="minorEastAsia"/>
          <w:sz w:val="28"/>
          <w:szCs w:val="28"/>
          <w:highlight w:val="none"/>
        </w:rPr>
        <w:t>近三年内不存在违反招投标和政府采购相关法律法规的禁止行为</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20" w:lineRule="atLeast"/>
        <w:ind w:left="0" w:right="0" w:firstLine="281" w:firstLineChars="100"/>
        <w:textAlignment w:val="auto"/>
        <w:rPr>
          <w:rFonts w:hint="default" w:ascii="宋体" w:hAnsi="宋体" w:eastAsia="宋体" w:cs="宋体"/>
          <w:b/>
          <w:bCs/>
          <w:spacing w:val="0"/>
          <w:sz w:val="28"/>
          <w:szCs w:val="28"/>
          <w:highlight w:val="none"/>
          <w:lang w:val="en-US" w:eastAsia="zh-CN"/>
        </w:rPr>
      </w:pPr>
      <w:r>
        <w:rPr>
          <w:rFonts w:hint="eastAsia" w:ascii="宋体" w:hAnsi="宋体" w:cs="宋体"/>
          <w:b/>
          <w:bCs/>
          <w:spacing w:val="0"/>
          <w:sz w:val="28"/>
          <w:szCs w:val="28"/>
          <w:highlight w:val="none"/>
          <w:lang w:val="en-US" w:eastAsia="zh-CN"/>
        </w:rPr>
        <w:t>二、</w:t>
      </w:r>
      <w:r>
        <w:rPr>
          <w:rFonts w:hint="eastAsia" w:ascii="宋体" w:hAnsi="宋体" w:eastAsia="宋体" w:cs="宋体"/>
          <w:b/>
          <w:bCs/>
          <w:spacing w:val="0"/>
          <w:sz w:val="28"/>
          <w:szCs w:val="28"/>
          <w:highlight w:val="none"/>
          <w:lang w:val="en-US" w:eastAsia="zh-CN"/>
        </w:rPr>
        <w:t>投标文件要求：</w:t>
      </w:r>
    </w:p>
    <w:p>
      <w:pPr>
        <w:pStyle w:val="20"/>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00" w:lineRule="atLeast"/>
        <w:ind w:left="1440" w:leftChars="0" w:right="0" w:hanging="1440" w:firstLineChars="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有效期内的营业执照正副本复印件</w:t>
      </w:r>
    </w:p>
    <w:p>
      <w:pPr>
        <w:pStyle w:val="20"/>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00" w:lineRule="atLeast"/>
        <w:ind w:left="0" w:leftChars="0" w:right="0" w:firstLine="0" w:firstLineChars="0"/>
        <w:textAlignment w:val="auto"/>
        <w:rPr>
          <w:rFonts w:hint="eastAsia" w:asciiTheme="minorEastAsia" w:hAnsiTheme="minorEastAsia" w:eastAsiaTheme="minorEastAsia" w:cstheme="minorEastAsia"/>
          <w:spacing w:val="0"/>
          <w:sz w:val="28"/>
          <w:szCs w:val="28"/>
          <w:highlight w:val="none"/>
        </w:rPr>
      </w:pPr>
      <w:r>
        <w:rPr>
          <w:rFonts w:hint="eastAsia" w:asciiTheme="minorEastAsia" w:hAnsiTheme="minorEastAsia" w:eastAsiaTheme="minorEastAsia" w:cstheme="minorEastAsia"/>
          <w:spacing w:val="0"/>
          <w:sz w:val="28"/>
          <w:szCs w:val="28"/>
          <w:highlight w:val="none"/>
        </w:rPr>
        <w:t>投标文件真实性的声明函；</w:t>
      </w:r>
    </w:p>
    <w:p>
      <w:pPr>
        <w:pStyle w:val="20"/>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8"/>
          <w:szCs w:val="28"/>
          <w:highlight w:val="none"/>
        </w:rPr>
      </w:pPr>
      <w:r>
        <w:rPr>
          <w:rFonts w:hint="eastAsia" w:asciiTheme="minorEastAsia" w:hAnsiTheme="minorEastAsia" w:eastAsiaTheme="minorEastAsia" w:cstheme="minorEastAsia"/>
          <w:spacing w:val="0"/>
          <w:sz w:val="28"/>
          <w:szCs w:val="28"/>
          <w:highlight w:val="none"/>
        </w:rPr>
        <w:t>投标代表为法人代表的，需提供法人代表证明书原件和法人代表身份证复印件；</w:t>
      </w:r>
    </w:p>
    <w:p>
      <w:pPr>
        <w:pStyle w:val="20"/>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8"/>
          <w:szCs w:val="28"/>
          <w:highlight w:val="none"/>
        </w:rPr>
      </w:pPr>
      <w:r>
        <w:rPr>
          <w:rFonts w:hint="eastAsia" w:asciiTheme="minorEastAsia" w:hAnsiTheme="minorEastAsia" w:eastAsiaTheme="minorEastAsia" w:cstheme="minorEastAsia"/>
          <w:spacing w:val="0"/>
          <w:sz w:val="28"/>
          <w:szCs w:val="28"/>
          <w:highlight w:val="none"/>
        </w:rPr>
        <w:t>投标代表非法人代表的，需提供“法定代表人授权书”原件及投标代表本人身份证</w:t>
      </w:r>
      <w:r>
        <w:rPr>
          <w:rFonts w:hint="eastAsia" w:asciiTheme="minorEastAsia" w:hAnsiTheme="minorEastAsia" w:cstheme="minorEastAsia"/>
          <w:spacing w:val="0"/>
          <w:sz w:val="28"/>
          <w:szCs w:val="28"/>
          <w:highlight w:val="none"/>
          <w:lang w:val="en-US" w:eastAsia="zh-CN"/>
        </w:rPr>
        <w:t>及复印件和法人身份证复印件；</w:t>
      </w:r>
    </w:p>
    <w:p>
      <w:pPr>
        <w:pStyle w:val="20"/>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8"/>
          <w:szCs w:val="28"/>
          <w:highlight w:val="none"/>
        </w:rPr>
      </w:pPr>
      <w:r>
        <w:rPr>
          <w:rFonts w:hint="eastAsia" w:asciiTheme="minorEastAsia" w:hAnsiTheme="minorEastAsia" w:eastAsiaTheme="minorEastAsia" w:cstheme="minorEastAsia"/>
          <w:spacing w:val="0"/>
          <w:sz w:val="28"/>
          <w:szCs w:val="28"/>
          <w:highlight w:val="none"/>
        </w:rPr>
        <w:t>投标人符合规定条件的业绩；</w:t>
      </w:r>
    </w:p>
    <w:p>
      <w:pPr>
        <w:pStyle w:val="20"/>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asciiTheme="minorEastAsia" w:hAnsiTheme="minorEastAsia"/>
          <w:sz w:val="28"/>
          <w:szCs w:val="28"/>
        </w:rPr>
      </w:pPr>
      <w:r>
        <w:rPr>
          <w:rFonts w:hint="eastAsia" w:asciiTheme="minorEastAsia" w:hAnsiTheme="minorEastAsia" w:cstheme="minorEastAsia"/>
          <w:spacing w:val="0"/>
          <w:sz w:val="28"/>
          <w:szCs w:val="28"/>
          <w:highlight w:val="none"/>
          <w:lang w:val="en-US" w:eastAsia="zh-CN"/>
        </w:rPr>
        <w:t>报价单（含税）。</w:t>
      </w: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方正黑体_GBK">
    <w:altName w:val="Arial Unicode MS"/>
    <w:panose1 w:val="02000000000000000000"/>
    <w:charset w:val="86"/>
    <w:family w:val="auto"/>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lvl>
  </w:abstractNum>
  <w:abstractNum w:abstractNumId="1">
    <w:nsid w:val="BDBAAF14"/>
    <w:multiLevelType w:val="singleLevel"/>
    <w:tmpl w:val="BDBAAF14"/>
    <w:lvl w:ilvl="0" w:tentative="0">
      <w:start w:val="1"/>
      <w:numFmt w:val="decimal"/>
      <w:suff w:val="nothing"/>
      <w:lvlText w:val="（%1）"/>
      <w:lvlJc w:val="left"/>
      <w:pPr>
        <w:ind w:left="1440"/>
      </w:pPr>
    </w:lvl>
  </w:abstractNum>
  <w:abstractNum w:abstractNumId="2">
    <w:nsid w:val="BF205925"/>
    <w:multiLevelType w:val="singleLevel"/>
    <w:tmpl w:val="BF205925"/>
    <w:lvl w:ilvl="0" w:tentative="0">
      <w:start w:val="1"/>
      <w:numFmt w:val="bullet"/>
      <w:lvlText w:val="•"/>
      <w:lvlJc w:val="left"/>
    </w:lvl>
  </w:abstractNum>
  <w:abstractNum w:abstractNumId="3">
    <w:nsid w:val="CF092B84"/>
    <w:multiLevelType w:val="singleLevel"/>
    <w:tmpl w:val="CF092B84"/>
    <w:lvl w:ilvl="0" w:tentative="0">
      <w:start w:val="1"/>
      <w:numFmt w:val="decimal"/>
      <w:lvlText w:val="%1."/>
      <w:lvlJc w:val="left"/>
    </w:lvl>
  </w:abstractNum>
  <w:abstractNum w:abstractNumId="4">
    <w:nsid w:val="E2B4EB75"/>
    <w:multiLevelType w:val="singleLevel"/>
    <w:tmpl w:val="E2B4EB75"/>
    <w:lvl w:ilvl="0" w:tentative="0">
      <w:start w:val="1"/>
      <w:numFmt w:val="decimal"/>
      <w:suff w:val="nothing"/>
      <w:lvlText w:val="%1．"/>
      <w:lvlJc w:val="left"/>
      <w:pPr>
        <w:ind w:left="0" w:firstLine="0"/>
      </w:pPr>
      <w:rPr>
        <w:rFonts w:hint="default"/>
      </w:rPr>
    </w:lvl>
  </w:abstractNum>
  <w:abstractNum w:abstractNumId="5">
    <w:nsid w:val="E3A432A4"/>
    <w:multiLevelType w:val="singleLevel"/>
    <w:tmpl w:val="E3A432A4"/>
    <w:lvl w:ilvl="0" w:tentative="0">
      <w:start w:val="1"/>
      <w:numFmt w:val="decimal"/>
      <w:suff w:val="nothing"/>
      <w:lvlText w:val="%1．"/>
      <w:lvlJc w:val="left"/>
      <w:pPr>
        <w:ind w:left="0" w:firstLine="0"/>
      </w:pPr>
      <w:rPr>
        <w:rFonts w:hint="default"/>
      </w:rPr>
    </w:lvl>
  </w:abstractNum>
  <w:abstractNum w:abstractNumId="6">
    <w:nsid w:val="0053208E"/>
    <w:multiLevelType w:val="singleLevel"/>
    <w:tmpl w:val="0053208E"/>
    <w:lvl w:ilvl="0" w:tentative="0">
      <w:start w:val="1"/>
      <w:numFmt w:val="decimal"/>
      <w:lvlText w:val="%1."/>
      <w:lvlJc w:val="left"/>
    </w:lvl>
  </w:abstractNum>
  <w:abstractNum w:abstractNumId="7">
    <w:nsid w:val="0248C179"/>
    <w:multiLevelType w:val="singleLevel"/>
    <w:tmpl w:val="0248C179"/>
    <w:lvl w:ilvl="0" w:tentative="0">
      <w:start w:val="1"/>
      <w:numFmt w:val="bullet"/>
      <w:lvlText w:val="•"/>
      <w:lvlJc w:val="left"/>
    </w:lvl>
  </w:abstractNum>
  <w:abstractNum w:abstractNumId="8">
    <w:nsid w:val="03D62ECE"/>
    <w:multiLevelType w:val="singleLevel"/>
    <w:tmpl w:val="03D62ECE"/>
    <w:lvl w:ilvl="0" w:tentative="0">
      <w:start w:val="1"/>
      <w:numFmt w:val="bullet"/>
      <w:lvlText w:val="•"/>
      <w:lvlJc w:val="left"/>
    </w:lvl>
  </w:abstractNum>
  <w:abstractNum w:abstractNumId="9">
    <w:nsid w:val="19059D2D"/>
    <w:multiLevelType w:val="singleLevel"/>
    <w:tmpl w:val="19059D2D"/>
    <w:lvl w:ilvl="0" w:tentative="0">
      <w:start w:val="1"/>
      <w:numFmt w:val="decimal"/>
      <w:suff w:val="nothing"/>
      <w:lvlText w:val="%1．"/>
      <w:lvlJc w:val="left"/>
      <w:pPr>
        <w:ind w:left="0" w:firstLine="0"/>
      </w:pPr>
      <w:rPr>
        <w:rFonts w:hint="default"/>
      </w:rPr>
    </w:lvl>
  </w:abstractNum>
  <w:abstractNum w:abstractNumId="10">
    <w:nsid w:val="2547CD07"/>
    <w:multiLevelType w:val="singleLevel"/>
    <w:tmpl w:val="2547CD07"/>
    <w:lvl w:ilvl="0" w:tentative="0">
      <w:start w:val="1"/>
      <w:numFmt w:val="decimal"/>
      <w:suff w:val="nothing"/>
      <w:lvlText w:val="%1．"/>
      <w:lvlJc w:val="left"/>
      <w:pPr>
        <w:ind w:left="0" w:firstLine="0"/>
      </w:pPr>
      <w:rPr>
        <w:rFonts w:hint="default"/>
      </w:rPr>
    </w:lvl>
  </w:abstractNum>
  <w:abstractNum w:abstractNumId="11">
    <w:nsid w:val="25B654F3"/>
    <w:multiLevelType w:val="singleLevel"/>
    <w:tmpl w:val="25B654F3"/>
    <w:lvl w:ilvl="0" w:tentative="0">
      <w:start w:val="1"/>
      <w:numFmt w:val="bullet"/>
      <w:lvlText w:val="•"/>
      <w:lvlJc w:val="left"/>
    </w:lvl>
  </w:abstractNum>
  <w:abstractNum w:abstractNumId="12">
    <w:nsid w:val="32AACF3B"/>
    <w:multiLevelType w:val="singleLevel"/>
    <w:tmpl w:val="32AACF3B"/>
    <w:lvl w:ilvl="0" w:tentative="0">
      <w:start w:val="1"/>
      <w:numFmt w:val="decimal"/>
      <w:suff w:val="nothing"/>
      <w:lvlText w:val="%1．"/>
      <w:lvlJc w:val="left"/>
      <w:pPr>
        <w:ind w:left="0" w:firstLine="0"/>
      </w:pPr>
      <w:rPr>
        <w:rFonts w:hint="default"/>
      </w:rPr>
    </w:lvl>
  </w:abstractNum>
  <w:abstractNum w:abstractNumId="13">
    <w:nsid w:val="59ADCABA"/>
    <w:multiLevelType w:val="singleLevel"/>
    <w:tmpl w:val="59ADCABA"/>
    <w:lvl w:ilvl="0" w:tentative="0">
      <w:start w:val="1"/>
      <w:numFmt w:val="bullet"/>
      <w:lvlText w:val="•"/>
      <w:lvlJc w:val="left"/>
    </w:lvl>
  </w:abstractNum>
  <w:abstractNum w:abstractNumId="14">
    <w:nsid w:val="5F29FB43"/>
    <w:multiLevelType w:val="multilevel"/>
    <w:tmpl w:val="5F29FB43"/>
    <w:lvl w:ilvl="0" w:tentative="0">
      <w:start w:val="1"/>
      <w:numFmt w:val="decimal"/>
      <w:pStyle w:val="3"/>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5">
    <w:nsid w:val="6E230785"/>
    <w:multiLevelType w:val="multilevel"/>
    <w:tmpl w:val="6E230785"/>
    <w:lvl w:ilvl="0" w:tentative="0">
      <w:start w:val="1"/>
      <w:numFmt w:val="bullet"/>
      <w:pStyle w:val="3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72183CF9"/>
    <w:multiLevelType w:val="singleLevel"/>
    <w:tmpl w:val="72183CF9"/>
    <w:lvl w:ilvl="0" w:tentative="0">
      <w:start w:val="1"/>
      <w:numFmt w:val="bullet"/>
      <w:lvlText w:val="•"/>
      <w:lvlJc w:val="left"/>
    </w:lvl>
  </w:abstractNum>
  <w:num w:numId="1">
    <w:abstractNumId w:val="14"/>
  </w:num>
  <w:num w:numId="2">
    <w:abstractNumId w:val="15"/>
  </w:num>
  <w:num w:numId="3">
    <w:abstractNumId w:val="6"/>
  </w:num>
  <w:num w:numId="4">
    <w:abstractNumId w:val="3"/>
  </w:num>
  <w:num w:numId="5">
    <w:abstractNumId w:val="13"/>
  </w:num>
  <w:num w:numId="6">
    <w:abstractNumId w:val="2"/>
  </w:num>
  <w:num w:numId="7">
    <w:abstractNumId w:val="0"/>
  </w:num>
  <w:num w:numId="8">
    <w:abstractNumId w:val="8"/>
  </w:num>
  <w:num w:numId="9">
    <w:abstractNumId w:val="11"/>
  </w:num>
  <w:num w:numId="10">
    <w:abstractNumId w:val="16"/>
  </w:num>
  <w:num w:numId="11">
    <w:abstractNumId w:val="7"/>
  </w:num>
  <w:num w:numId="12">
    <w:abstractNumId w:val="10"/>
  </w:num>
  <w:num w:numId="13">
    <w:abstractNumId w:val="12"/>
  </w:num>
  <w:num w:numId="14">
    <w:abstractNumId w:val="5"/>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4M2MyMzcxYjAyMWI1MDkzM2Q1MDk5NmQ4MTNmYjYifQ=="/>
  </w:docVars>
  <w:rsids>
    <w:rsidRoot w:val="00215EB1"/>
    <w:rsid w:val="00005ECF"/>
    <w:rsid w:val="00012023"/>
    <w:rsid w:val="000405AC"/>
    <w:rsid w:val="00044763"/>
    <w:rsid w:val="00047B21"/>
    <w:rsid w:val="000560E9"/>
    <w:rsid w:val="00057392"/>
    <w:rsid w:val="00077951"/>
    <w:rsid w:val="000A3087"/>
    <w:rsid w:val="000B4464"/>
    <w:rsid w:val="000C2E82"/>
    <w:rsid w:val="000D01DC"/>
    <w:rsid w:val="000D1384"/>
    <w:rsid w:val="000D3158"/>
    <w:rsid w:val="000D3EBB"/>
    <w:rsid w:val="000E6C73"/>
    <w:rsid w:val="000F486D"/>
    <w:rsid w:val="00100D30"/>
    <w:rsid w:val="00105CA5"/>
    <w:rsid w:val="00124E57"/>
    <w:rsid w:val="00125423"/>
    <w:rsid w:val="0012714D"/>
    <w:rsid w:val="00133387"/>
    <w:rsid w:val="00141A47"/>
    <w:rsid w:val="00163E41"/>
    <w:rsid w:val="00172FA7"/>
    <w:rsid w:val="00182483"/>
    <w:rsid w:val="00192276"/>
    <w:rsid w:val="00195AEE"/>
    <w:rsid w:val="001A7C1F"/>
    <w:rsid w:val="001B1E5A"/>
    <w:rsid w:val="001B2166"/>
    <w:rsid w:val="001C6C64"/>
    <w:rsid w:val="001D22E3"/>
    <w:rsid w:val="001D30C8"/>
    <w:rsid w:val="001D4125"/>
    <w:rsid w:val="00211F50"/>
    <w:rsid w:val="00215EB1"/>
    <w:rsid w:val="00226165"/>
    <w:rsid w:val="00241E44"/>
    <w:rsid w:val="0025327C"/>
    <w:rsid w:val="00257ECA"/>
    <w:rsid w:val="00262076"/>
    <w:rsid w:val="00262E91"/>
    <w:rsid w:val="00265555"/>
    <w:rsid w:val="00276FFB"/>
    <w:rsid w:val="0029220D"/>
    <w:rsid w:val="002A028F"/>
    <w:rsid w:val="002A2F22"/>
    <w:rsid w:val="002B3724"/>
    <w:rsid w:val="002B4D94"/>
    <w:rsid w:val="002C174D"/>
    <w:rsid w:val="002C347D"/>
    <w:rsid w:val="002C47E0"/>
    <w:rsid w:val="002E2553"/>
    <w:rsid w:val="0030283E"/>
    <w:rsid w:val="00305790"/>
    <w:rsid w:val="003064FF"/>
    <w:rsid w:val="00316E7F"/>
    <w:rsid w:val="00321A2A"/>
    <w:rsid w:val="00323B0A"/>
    <w:rsid w:val="00332A90"/>
    <w:rsid w:val="00342205"/>
    <w:rsid w:val="00343C00"/>
    <w:rsid w:val="00343F0A"/>
    <w:rsid w:val="003475F0"/>
    <w:rsid w:val="00351C6E"/>
    <w:rsid w:val="003563CB"/>
    <w:rsid w:val="00386D7B"/>
    <w:rsid w:val="00391C08"/>
    <w:rsid w:val="003A0284"/>
    <w:rsid w:val="003A25FD"/>
    <w:rsid w:val="003A42B1"/>
    <w:rsid w:val="003A6F1C"/>
    <w:rsid w:val="003A738A"/>
    <w:rsid w:val="003B5E0C"/>
    <w:rsid w:val="003C7FD9"/>
    <w:rsid w:val="003D6B02"/>
    <w:rsid w:val="003E1C96"/>
    <w:rsid w:val="003E2417"/>
    <w:rsid w:val="0040427B"/>
    <w:rsid w:val="00407060"/>
    <w:rsid w:val="00411CDE"/>
    <w:rsid w:val="00412AF3"/>
    <w:rsid w:val="00430AAF"/>
    <w:rsid w:val="00443828"/>
    <w:rsid w:val="004452B1"/>
    <w:rsid w:val="00457032"/>
    <w:rsid w:val="004722E1"/>
    <w:rsid w:val="004A1EC6"/>
    <w:rsid w:val="004B371A"/>
    <w:rsid w:val="004B5E13"/>
    <w:rsid w:val="004C1E2A"/>
    <w:rsid w:val="004C4504"/>
    <w:rsid w:val="004E43BF"/>
    <w:rsid w:val="004E7141"/>
    <w:rsid w:val="004E774B"/>
    <w:rsid w:val="004F6B50"/>
    <w:rsid w:val="00513638"/>
    <w:rsid w:val="00524C60"/>
    <w:rsid w:val="00536D75"/>
    <w:rsid w:val="00542A3A"/>
    <w:rsid w:val="00554C6F"/>
    <w:rsid w:val="00564A81"/>
    <w:rsid w:val="00592BE3"/>
    <w:rsid w:val="00594E00"/>
    <w:rsid w:val="005B112D"/>
    <w:rsid w:val="005B6DE5"/>
    <w:rsid w:val="005C4C5D"/>
    <w:rsid w:val="005D481B"/>
    <w:rsid w:val="006078F4"/>
    <w:rsid w:val="00610FA9"/>
    <w:rsid w:val="00612A35"/>
    <w:rsid w:val="00615BFB"/>
    <w:rsid w:val="00626866"/>
    <w:rsid w:val="0063080F"/>
    <w:rsid w:val="00633F83"/>
    <w:rsid w:val="00637912"/>
    <w:rsid w:val="0064055B"/>
    <w:rsid w:val="00642113"/>
    <w:rsid w:val="00647AF9"/>
    <w:rsid w:val="00652BCA"/>
    <w:rsid w:val="00653EBB"/>
    <w:rsid w:val="00662545"/>
    <w:rsid w:val="00674A1B"/>
    <w:rsid w:val="00684A3B"/>
    <w:rsid w:val="006A108B"/>
    <w:rsid w:val="006A175F"/>
    <w:rsid w:val="006B0152"/>
    <w:rsid w:val="006C3C59"/>
    <w:rsid w:val="006D2FB2"/>
    <w:rsid w:val="006D7C85"/>
    <w:rsid w:val="006E0B3D"/>
    <w:rsid w:val="006E1182"/>
    <w:rsid w:val="006F7F06"/>
    <w:rsid w:val="00706699"/>
    <w:rsid w:val="00712304"/>
    <w:rsid w:val="00747E91"/>
    <w:rsid w:val="0075144C"/>
    <w:rsid w:val="00760B73"/>
    <w:rsid w:val="00762A2C"/>
    <w:rsid w:val="00764EA2"/>
    <w:rsid w:val="00766E86"/>
    <w:rsid w:val="00790F6B"/>
    <w:rsid w:val="00794EF8"/>
    <w:rsid w:val="007972B1"/>
    <w:rsid w:val="007A16F8"/>
    <w:rsid w:val="007A3D59"/>
    <w:rsid w:val="007B366A"/>
    <w:rsid w:val="007F6765"/>
    <w:rsid w:val="0085096F"/>
    <w:rsid w:val="008622ED"/>
    <w:rsid w:val="00864E41"/>
    <w:rsid w:val="00873B6D"/>
    <w:rsid w:val="008A59EC"/>
    <w:rsid w:val="008B7D7A"/>
    <w:rsid w:val="008B7FAD"/>
    <w:rsid w:val="008C0B4D"/>
    <w:rsid w:val="008E26F2"/>
    <w:rsid w:val="008F67AE"/>
    <w:rsid w:val="009113A1"/>
    <w:rsid w:val="00922C11"/>
    <w:rsid w:val="00932639"/>
    <w:rsid w:val="00954D61"/>
    <w:rsid w:val="009616E0"/>
    <w:rsid w:val="00965264"/>
    <w:rsid w:val="00965C71"/>
    <w:rsid w:val="00982F2C"/>
    <w:rsid w:val="009A03B2"/>
    <w:rsid w:val="009A194B"/>
    <w:rsid w:val="009B0BF6"/>
    <w:rsid w:val="009B5FAA"/>
    <w:rsid w:val="009B71A6"/>
    <w:rsid w:val="009C2E32"/>
    <w:rsid w:val="009C7372"/>
    <w:rsid w:val="009D454C"/>
    <w:rsid w:val="00A03F0B"/>
    <w:rsid w:val="00A17B48"/>
    <w:rsid w:val="00A20F42"/>
    <w:rsid w:val="00A23D56"/>
    <w:rsid w:val="00A319AB"/>
    <w:rsid w:val="00A53733"/>
    <w:rsid w:val="00A721FF"/>
    <w:rsid w:val="00A72D69"/>
    <w:rsid w:val="00A73BA4"/>
    <w:rsid w:val="00A74E85"/>
    <w:rsid w:val="00A839DD"/>
    <w:rsid w:val="00A84E01"/>
    <w:rsid w:val="00A94355"/>
    <w:rsid w:val="00A97CDC"/>
    <w:rsid w:val="00AC57D6"/>
    <w:rsid w:val="00AF3858"/>
    <w:rsid w:val="00B02D5C"/>
    <w:rsid w:val="00B17948"/>
    <w:rsid w:val="00B17D99"/>
    <w:rsid w:val="00B22808"/>
    <w:rsid w:val="00B43E34"/>
    <w:rsid w:val="00B52690"/>
    <w:rsid w:val="00B54AB6"/>
    <w:rsid w:val="00B71EA7"/>
    <w:rsid w:val="00B747FF"/>
    <w:rsid w:val="00B82C44"/>
    <w:rsid w:val="00B82E83"/>
    <w:rsid w:val="00B85800"/>
    <w:rsid w:val="00B966D3"/>
    <w:rsid w:val="00BA1057"/>
    <w:rsid w:val="00BB1D30"/>
    <w:rsid w:val="00BD3CD9"/>
    <w:rsid w:val="00BD44D5"/>
    <w:rsid w:val="00BF545F"/>
    <w:rsid w:val="00C1048F"/>
    <w:rsid w:val="00C25A7D"/>
    <w:rsid w:val="00C30F50"/>
    <w:rsid w:val="00C426DF"/>
    <w:rsid w:val="00C4520C"/>
    <w:rsid w:val="00C554D4"/>
    <w:rsid w:val="00C66EFF"/>
    <w:rsid w:val="00C723AF"/>
    <w:rsid w:val="00C74C03"/>
    <w:rsid w:val="00CA4265"/>
    <w:rsid w:val="00CB12FB"/>
    <w:rsid w:val="00CD5843"/>
    <w:rsid w:val="00CF0CBC"/>
    <w:rsid w:val="00CF0D4F"/>
    <w:rsid w:val="00CF2A83"/>
    <w:rsid w:val="00D162A8"/>
    <w:rsid w:val="00D25316"/>
    <w:rsid w:val="00D36178"/>
    <w:rsid w:val="00D528E0"/>
    <w:rsid w:val="00D648EA"/>
    <w:rsid w:val="00D656DE"/>
    <w:rsid w:val="00D75382"/>
    <w:rsid w:val="00D810CD"/>
    <w:rsid w:val="00D90846"/>
    <w:rsid w:val="00D93BEA"/>
    <w:rsid w:val="00DC400A"/>
    <w:rsid w:val="00DD320C"/>
    <w:rsid w:val="00DD6B8B"/>
    <w:rsid w:val="00DF6AC5"/>
    <w:rsid w:val="00E33D05"/>
    <w:rsid w:val="00E416B0"/>
    <w:rsid w:val="00E521D5"/>
    <w:rsid w:val="00E61421"/>
    <w:rsid w:val="00E65584"/>
    <w:rsid w:val="00E838D0"/>
    <w:rsid w:val="00EA449E"/>
    <w:rsid w:val="00EE076E"/>
    <w:rsid w:val="00EE7CDD"/>
    <w:rsid w:val="00EF1BF0"/>
    <w:rsid w:val="00F11DAD"/>
    <w:rsid w:val="00F12E26"/>
    <w:rsid w:val="00F30343"/>
    <w:rsid w:val="00F44C00"/>
    <w:rsid w:val="00F44C96"/>
    <w:rsid w:val="00F45168"/>
    <w:rsid w:val="00F50023"/>
    <w:rsid w:val="00F73A79"/>
    <w:rsid w:val="00F76BDF"/>
    <w:rsid w:val="00F96E84"/>
    <w:rsid w:val="00FA32A0"/>
    <w:rsid w:val="00FB0AAA"/>
    <w:rsid w:val="00FC04E9"/>
    <w:rsid w:val="00FC0BA6"/>
    <w:rsid w:val="00FC461D"/>
    <w:rsid w:val="00FD3D79"/>
    <w:rsid w:val="01311D17"/>
    <w:rsid w:val="01A91989"/>
    <w:rsid w:val="01C0309B"/>
    <w:rsid w:val="01DD3C4D"/>
    <w:rsid w:val="026747A0"/>
    <w:rsid w:val="02D46401"/>
    <w:rsid w:val="02F079B0"/>
    <w:rsid w:val="038A570F"/>
    <w:rsid w:val="0405748B"/>
    <w:rsid w:val="041D798E"/>
    <w:rsid w:val="04695C6C"/>
    <w:rsid w:val="049802FF"/>
    <w:rsid w:val="05597A8E"/>
    <w:rsid w:val="055C5C93"/>
    <w:rsid w:val="05E8737A"/>
    <w:rsid w:val="06DF0467"/>
    <w:rsid w:val="0777244E"/>
    <w:rsid w:val="08C94F2B"/>
    <w:rsid w:val="090917CB"/>
    <w:rsid w:val="09250C96"/>
    <w:rsid w:val="09D9119E"/>
    <w:rsid w:val="09E111DE"/>
    <w:rsid w:val="0A963238"/>
    <w:rsid w:val="0A9B46A5"/>
    <w:rsid w:val="0ABC3E3D"/>
    <w:rsid w:val="0AD46E32"/>
    <w:rsid w:val="0ADB2CF4"/>
    <w:rsid w:val="0B8C422C"/>
    <w:rsid w:val="0C321039"/>
    <w:rsid w:val="0C7B478E"/>
    <w:rsid w:val="0E39220B"/>
    <w:rsid w:val="0ECF3B71"/>
    <w:rsid w:val="0F310D17"/>
    <w:rsid w:val="0F391C85"/>
    <w:rsid w:val="0F474DFC"/>
    <w:rsid w:val="0F6E05DA"/>
    <w:rsid w:val="102E2D11"/>
    <w:rsid w:val="108D683E"/>
    <w:rsid w:val="109C2F25"/>
    <w:rsid w:val="11074842"/>
    <w:rsid w:val="118B7221"/>
    <w:rsid w:val="122338FE"/>
    <w:rsid w:val="12C7072D"/>
    <w:rsid w:val="156B27E5"/>
    <w:rsid w:val="16111CBF"/>
    <w:rsid w:val="179B49B5"/>
    <w:rsid w:val="186C142F"/>
    <w:rsid w:val="1963014B"/>
    <w:rsid w:val="19632832"/>
    <w:rsid w:val="199450E1"/>
    <w:rsid w:val="1A1B135F"/>
    <w:rsid w:val="1AFF2A2E"/>
    <w:rsid w:val="1C536B8E"/>
    <w:rsid w:val="1DEF6D8A"/>
    <w:rsid w:val="1E3FAB06"/>
    <w:rsid w:val="1E57048B"/>
    <w:rsid w:val="1EE066D3"/>
    <w:rsid w:val="1F2B2044"/>
    <w:rsid w:val="1FD04999"/>
    <w:rsid w:val="1FF24910"/>
    <w:rsid w:val="200363DF"/>
    <w:rsid w:val="201E11C5"/>
    <w:rsid w:val="206375BB"/>
    <w:rsid w:val="20A98C55"/>
    <w:rsid w:val="21731A80"/>
    <w:rsid w:val="21792C6F"/>
    <w:rsid w:val="219043E0"/>
    <w:rsid w:val="21D95D87"/>
    <w:rsid w:val="21DE514B"/>
    <w:rsid w:val="221C3EC6"/>
    <w:rsid w:val="227B299A"/>
    <w:rsid w:val="23AC3027"/>
    <w:rsid w:val="253D7C59"/>
    <w:rsid w:val="25F27417"/>
    <w:rsid w:val="262F3FF1"/>
    <w:rsid w:val="2741623A"/>
    <w:rsid w:val="275F57D6"/>
    <w:rsid w:val="27C22E19"/>
    <w:rsid w:val="27E43127"/>
    <w:rsid w:val="28060F58"/>
    <w:rsid w:val="285C14C0"/>
    <w:rsid w:val="28F355E4"/>
    <w:rsid w:val="2A7D74CC"/>
    <w:rsid w:val="2AD82738"/>
    <w:rsid w:val="2BB62C95"/>
    <w:rsid w:val="2C0B1233"/>
    <w:rsid w:val="2D0A14EA"/>
    <w:rsid w:val="2EB77450"/>
    <w:rsid w:val="2EF91817"/>
    <w:rsid w:val="2F94153F"/>
    <w:rsid w:val="315A0567"/>
    <w:rsid w:val="315F792B"/>
    <w:rsid w:val="317258B0"/>
    <w:rsid w:val="32990C1B"/>
    <w:rsid w:val="33296443"/>
    <w:rsid w:val="337E072C"/>
    <w:rsid w:val="33B71CA0"/>
    <w:rsid w:val="34933894"/>
    <w:rsid w:val="34E46AC5"/>
    <w:rsid w:val="351729F7"/>
    <w:rsid w:val="36201D7F"/>
    <w:rsid w:val="36580022"/>
    <w:rsid w:val="36653C36"/>
    <w:rsid w:val="36F57E96"/>
    <w:rsid w:val="37425D25"/>
    <w:rsid w:val="37E33064"/>
    <w:rsid w:val="383605D0"/>
    <w:rsid w:val="389A6DAB"/>
    <w:rsid w:val="38DB01DF"/>
    <w:rsid w:val="38E54BBA"/>
    <w:rsid w:val="395D29A2"/>
    <w:rsid w:val="39B27192"/>
    <w:rsid w:val="3A5C70FE"/>
    <w:rsid w:val="3AC57BD6"/>
    <w:rsid w:val="3AE36A70"/>
    <w:rsid w:val="3B1479D8"/>
    <w:rsid w:val="3B5B73B5"/>
    <w:rsid w:val="3BDB4052"/>
    <w:rsid w:val="3CE31410"/>
    <w:rsid w:val="3D096A38"/>
    <w:rsid w:val="3D3A1978"/>
    <w:rsid w:val="3D581DFE"/>
    <w:rsid w:val="3DD07BE6"/>
    <w:rsid w:val="3E7D4A9D"/>
    <w:rsid w:val="3E946E66"/>
    <w:rsid w:val="3F1B1335"/>
    <w:rsid w:val="3F732F1F"/>
    <w:rsid w:val="40CA3013"/>
    <w:rsid w:val="40DC68A2"/>
    <w:rsid w:val="417967E7"/>
    <w:rsid w:val="41B72A06"/>
    <w:rsid w:val="42072EE9"/>
    <w:rsid w:val="428570D9"/>
    <w:rsid w:val="441B1DD7"/>
    <w:rsid w:val="44D25A49"/>
    <w:rsid w:val="44DE0B44"/>
    <w:rsid w:val="45152A2C"/>
    <w:rsid w:val="456270F2"/>
    <w:rsid w:val="45F722FD"/>
    <w:rsid w:val="469F0A9E"/>
    <w:rsid w:val="46DE7263"/>
    <w:rsid w:val="474433F3"/>
    <w:rsid w:val="4780737E"/>
    <w:rsid w:val="47833F1C"/>
    <w:rsid w:val="47B9643A"/>
    <w:rsid w:val="47F6293F"/>
    <w:rsid w:val="480F16FC"/>
    <w:rsid w:val="48E704DA"/>
    <w:rsid w:val="49BF6D61"/>
    <w:rsid w:val="49E03469"/>
    <w:rsid w:val="4A280A29"/>
    <w:rsid w:val="4BC304DA"/>
    <w:rsid w:val="4C8A18A8"/>
    <w:rsid w:val="4CAF57B3"/>
    <w:rsid w:val="4DE75219"/>
    <w:rsid w:val="4DFF77C7"/>
    <w:rsid w:val="4DFFEF47"/>
    <w:rsid w:val="4F895E47"/>
    <w:rsid w:val="4FFF20A1"/>
    <w:rsid w:val="50373AF5"/>
    <w:rsid w:val="5144471C"/>
    <w:rsid w:val="517F39A6"/>
    <w:rsid w:val="52067C23"/>
    <w:rsid w:val="540463E4"/>
    <w:rsid w:val="54EA55DA"/>
    <w:rsid w:val="55674E7D"/>
    <w:rsid w:val="567315FF"/>
    <w:rsid w:val="572C46CA"/>
    <w:rsid w:val="57911A47"/>
    <w:rsid w:val="57ABF3B2"/>
    <w:rsid w:val="57AF32E4"/>
    <w:rsid w:val="57F4051E"/>
    <w:rsid w:val="5827444F"/>
    <w:rsid w:val="584E7C2E"/>
    <w:rsid w:val="58E97957"/>
    <w:rsid w:val="58F33322"/>
    <w:rsid w:val="59DF76D7"/>
    <w:rsid w:val="5A3D7F5A"/>
    <w:rsid w:val="5AEF37D6"/>
    <w:rsid w:val="5B084A0C"/>
    <w:rsid w:val="5BEB3731"/>
    <w:rsid w:val="5C6A7000"/>
    <w:rsid w:val="5C9DA247"/>
    <w:rsid w:val="5CD03307"/>
    <w:rsid w:val="5D2C48AB"/>
    <w:rsid w:val="5DD76917"/>
    <w:rsid w:val="5DD92690"/>
    <w:rsid w:val="5E0C320A"/>
    <w:rsid w:val="5E361997"/>
    <w:rsid w:val="5E3E6996"/>
    <w:rsid w:val="5F4D50E3"/>
    <w:rsid w:val="5FDFB220"/>
    <w:rsid w:val="5FE02880"/>
    <w:rsid w:val="600D4872"/>
    <w:rsid w:val="60496549"/>
    <w:rsid w:val="605129B1"/>
    <w:rsid w:val="606E7F70"/>
    <w:rsid w:val="60A800F7"/>
    <w:rsid w:val="60AD570E"/>
    <w:rsid w:val="61AB4343"/>
    <w:rsid w:val="6217362B"/>
    <w:rsid w:val="623E6F65"/>
    <w:rsid w:val="62B341DC"/>
    <w:rsid w:val="62BA6289"/>
    <w:rsid w:val="62D11B87"/>
    <w:rsid w:val="64281C7B"/>
    <w:rsid w:val="64552344"/>
    <w:rsid w:val="64B254D8"/>
    <w:rsid w:val="64B559C9"/>
    <w:rsid w:val="64C52C73"/>
    <w:rsid w:val="64CC2606"/>
    <w:rsid w:val="64D8544F"/>
    <w:rsid w:val="65DF0715"/>
    <w:rsid w:val="65FC33BF"/>
    <w:rsid w:val="6653554E"/>
    <w:rsid w:val="66805D9E"/>
    <w:rsid w:val="66D103A8"/>
    <w:rsid w:val="67F87BB6"/>
    <w:rsid w:val="680B72D0"/>
    <w:rsid w:val="68C57CDC"/>
    <w:rsid w:val="696C43B8"/>
    <w:rsid w:val="69771CCC"/>
    <w:rsid w:val="6994390F"/>
    <w:rsid w:val="6AFE3735"/>
    <w:rsid w:val="6B3929BF"/>
    <w:rsid w:val="6C886FE1"/>
    <w:rsid w:val="6CA33997"/>
    <w:rsid w:val="6CCD33BF"/>
    <w:rsid w:val="6CD81D64"/>
    <w:rsid w:val="6CE8759B"/>
    <w:rsid w:val="6D7318F2"/>
    <w:rsid w:val="6DD46EC5"/>
    <w:rsid w:val="6E2434B3"/>
    <w:rsid w:val="6F0A24B6"/>
    <w:rsid w:val="6F40431D"/>
    <w:rsid w:val="6F7DBBB1"/>
    <w:rsid w:val="6F7E6BF3"/>
    <w:rsid w:val="6FBB4D79"/>
    <w:rsid w:val="6FDFC24B"/>
    <w:rsid w:val="707E9BEF"/>
    <w:rsid w:val="71C11019"/>
    <w:rsid w:val="727662A7"/>
    <w:rsid w:val="72861843"/>
    <w:rsid w:val="72E66F89"/>
    <w:rsid w:val="73125FD0"/>
    <w:rsid w:val="73A921F6"/>
    <w:rsid w:val="73BF77DA"/>
    <w:rsid w:val="73D57259"/>
    <w:rsid w:val="74392AB2"/>
    <w:rsid w:val="755A15FE"/>
    <w:rsid w:val="7566584C"/>
    <w:rsid w:val="75F714AD"/>
    <w:rsid w:val="769D2054"/>
    <w:rsid w:val="76CC46E8"/>
    <w:rsid w:val="771709C0"/>
    <w:rsid w:val="774A385E"/>
    <w:rsid w:val="776347EF"/>
    <w:rsid w:val="77854F30"/>
    <w:rsid w:val="77E57579"/>
    <w:rsid w:val="78EBDB5B"/>
    <w:rsid w:val="796450AB"/>
    <w:rsid w:val="796778AE"/>
    <w:rsid w:val="79A951B4"/>
    <w:rsid w:val="7A3C3932"/>
    <w:rsid w:val="7A7632E8"/>
    <w:rsid w:val="7B871525"/>
    <w:rsid w:val="7BAC4AE8"/>
    <w:rsid w:val="7BB40B99"/>
    <w:rsid w:val="7C907F65"/>
    <w:rsid w:val="7C9E2631"/>
    <w:rsid w:val="7D480412"/>
    <w:rsid w:val="7D637428"/>
    <w:rsid w:val="7D752F91"/>
    <w:rsid w:val="7DD65E4C"/>
    <w:rsid w:val="7DFAADEA"/>
    <w:rsid w:val="7E6B47E6"/>
    <w:rsid w:val="7EA68184"/>
    <w:rsid w:val="7EB62F04"/>
    <w:rsid w:val="7F390D88"/>
    <w:rsid w:val="7F8ACDFF"/>
    <w:rsid w:val="7FFD9792"/>
    <w:rsid w:val="7FFE9A25"/>
    <w:rsid w:val="9F5728B1"/>
    <w:rsid w:val="9FF32675"/>
    <w:rsid w:val="A5F20654"/>
    <w:rsid w:val="AFFFA92C"/>
    <w:rsid w:val="B83FBCF2"/>
    <w:rsid w:val="BB1FA24E"/>
    <w:rsid w:val="DD5F04A7"/>
    <w:rsid w:val="DFFDEB62"/>
    <w:rsid w:val="EFF98F31"/>
    <w:rsid w:val="F3DF4845"/>
    <w:rsid w:val="F7B7FF21"/>
    <w:rsid w:val="FBBF38E7"/>
    <w:rsid w:val="FCFF1A69"/>
    <w:rsid w:val="FDEC9779"/>
    <w:rsid w:val="FFB39AD0"/>
    <w:rsid w:val="FFBDA828"/>
    <w:rsid w:val="FFDF7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2"/>
      <w:lang w:val="en-US" w:eastAsia="zh-CN" w:bidi="ar-SA"/>
    </w:rPr>
  </w:style>
  <w:style w:type="paragraph" w:styleId="3">
    <w:name w:val="heading 1"/>
    <w:basedOn w:val="1"/>
    <w:next w:val="1"/>
    <w:qFormat/>
    <w:uiPriority w:val="9"/>
    <w:pPr>
      <w:keepNext/>
      <w:keepLines/>
      <w:numPr>
        <w:ilvl w:val="0"/>
        <w:numId w:val="1"/>
      </w:numPr>
      <w:spacing w:line="360" w:lineRule="auto"/>
      <w:outlineLvl w:val="0"/>
    </w:pPr>
    <w:rPr>
      <w:rFonts w:eastAsia="宋体"/>
      <w:b/>
      <w:kern w:val="44"/>
      <w:sz w:val="28"/>
    </w:rPr>
  </w:style>
  <w:style w:type="paragraph" w:styleId="2">
    <w:name w:val="heading 2"/>
    <w:basedOn w:val="1"/>
    <w:next w:val="1"/>
    <w:unhideWhenUsed/>
    <w:qFormat/>
    <w:uiPriority w:val="9"/>
    <w:pPr>
      <w:keepNext/>
      <w:keepLines/>
      <w:numPr>
        <w:ilvl w:val="1"/>
        <w:numId w:val="1"/>
      </w:numPr>
      <w:spacing w:line="360" w:lineRule="auto"/>
      <w:outlineLvl w:val="1"/>
    </w:pPr>
    <w:rPr>
      <w:rFonts w:ascii="DejaVu Sans" w:hAnsi="DejaVu Sans" w:eastAsia="方正黑体_GBK"/>
      <w:b/>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rFonts w:asciiTheme="minorAscii" w:hAnsiTheme="minorAscii"/>
      <w:b/>
      <w:sz w:val="24"/>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DejaVu Sans" w:hAnsi="DejaVu Sans" w:eastAsia="方正黑体_GBK"/>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DejaVu Sans" w:hAnsi="DejaVu Sans" w:eastAsia="方正黑体_GBK"/>
      <w:b/>
      <w:sz w:val="24"/>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DejaVu Sans" w:hAnsi="DejaVu Sans" w:eastAsia="方正黑体_GBK"/>
      <w:sz w:val="24"/>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DejaVu Sans" w:hAnsi="DejaVu Sans" w:eastAsia="方正黑体_GBK"/>
    </w:rPr>
  </w:style>
  <w:style w:type="character" w:default="1" w:styleId="24">
    <w:name w:val="Default Paragraph Font"/>
    <w:unhideWhenUsed/>
    <w:qFormat/>
    <w:uiPriority w:val="1"/>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unhideWhenUsed/>
    <w:qFormat/>
    <w:uiPriority w:val="99"/>
    <w:pPr>
      <w:jc w:val="left"/>
    </w:pPr>
  </w:style>
  <w:style w:type="paragraph" w:styleId="12">
    <w:name w:val="Body Text"/>
    <w:basedOn w:val="1"/>
    <w:unhideWhenUsed/>
    <w:qFormat/>
    <w:uiPriority w:val="99"/>
    <w:pPr>
      <w:spacing w:after="120"/>
    </w:pPr>
  </w:style>
  <w:style w:type="paragraph" w:styleId="13">
    <w:name w:val="Body Text Indent"/>
    <w:basedOn w:val="1"/>
    <w:next w:val="14"/>
    <w:unhideWhenUsed/>
    <w:qFormat/>
    <w:uiPriority w:val="99"/>
    <w:pPr>
      <w:spacing w:after="120" w:afterLines="0"/>
      <w:ind w:left="420" w:leftChars="200"/>
    </w:pPr>
  </w:style>
  <w:style w:type="paragraph" w:styleId="14">
    <w:name w:val="Body Text First Indent 2"/>
    <w:basedOn w:val="13"/>
    <w:unhideWhenUsed/>
    <w:qFormat/>
    <w:uiPriority w:val="99"/>
    <w:pPr>
      <w:tabs>
        <w:tab w:val="left" w:pos="720"/>
      </w:tabs>
      <w:ind w:firstLine="420"/>
    </w:p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Body Text 2"/>
    <w:basedOn w:val="1"/>
    <w:unhideWhenUsed/>
    <w:qFormat/>
    <w:uiPriority w:val="99"/>
    <w:pPr>
      <w:spacing w:line="480" w:lineRule="auto"/>
    </w:pPr>
    <w:rPr>
      <w:rFonts w:asciiTheme="minorHAnsi" w:hAnsiTheme="minorHAnsi" w:eastAsiaTheme="minorEastAsia" w:cstheme="minorBidi"/>
    </w:rPr>
  </w:style>
  <w:style w:type="paragraph" w:styleId="2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1">
    <w:name w:val="Body Text First Indent"/>
    <w:basedOn w:val="12"/>
    <w:unhideWhenUsed/>
    <w:qFormat/>
    <w:uiPriority w:val="99"/>
    <w:pPr>
      <w:spacing w:line="360" w:lineRule="auto"/>
      <w:ind w:firstLine="420" w:firstLineChars="100"/>
    </w:pPr>
    <w:rPr>
      <w:rFonts w:ascii="Calibri" w:hAnsi="Calibri"/>
    </w:rPr>
  </w:style>
  <w:style w:type="table" w:styleId="23">
    <w:name w:val="Table Grid"/>
    <w:basedOn w:val="2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annotation reference"/>
    <w:basedOn w:val="24"/>
    <w:unhideWhenUsed/>
    <w:qFormat/>
    <w:uiPriority w:val="99"/>
    <w:rPr>
      <w:sz w:val="21"/>
      <w:szCs w:val="21"/>
    </w:rPr>
  </w:style>
  <w:style w:type="paragraph" w:customStyle="1" w:styleId="27">
    <w:name w:val="列出段落1"/>
    <w:basedOn w:val="1"/>
    <w:qFormat/>
    <w:uiPriority w:val="34"/>
    <w:pPr>
      <w:ind w:firstLine="420" w:firstLineChars="200"/>
    </w:pPr>
  </w:style>
  <w:style w:type="character" w:customStyle="1" w:styleId="28">
    <w:name w:val="页眉 Char"/>
    <w:basedOn w:val="24"/>
    <w:link w:val="17"/>
    <w:qFormat/>
    <w:uiPriority w:val="99"/>
    <w:rPr>
      <w:sz w:val="18"/>
      <w:szCs w:val="18"/>
    </w:rPr>
  </w:style>
  <w:style w:type="character" w:customStyle="1" w:styleId="29">
    <w:name w:val="页脚 Char"/>
    <w:basedOn w:val="24"/>
    <w:link w:val="16"/>
    <w:qFormat/>
    <w:uiPriority w:val="99"/>
    <w:rPr>
      <w:sz w:val="18"/>
      <w:szCs w:val="18"/>
    </w:rPr>
  </w:style>
  <w:style w:type="paragraph" w:customStyle="1" w:styleId="30">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table" w:customStyle="1" w:styleId="31">
    <w:name w:val="Table Normal"/>
    <w:qFormat/>
    <w:uiPriority w:val="0"/>
    <w:rPr>
      <w:rFonts w:ascii="Times New Roman" w:hAnsi="Times New Roman" w:cs="Times New Roman"/>
    </w:rPr>
    <w:tblPr>
      <w:tblCellMar>
        <w:top w:w="0" w:type="dxa"/>
        <w:left w:w="0" w:type="dxa"/>
        <w:bottom w:w="0" w:type="dxa"/>
        <w:right w:w="0" w:type="dxa"/>
      </w:tblCellMar>
    </w:tblPr>
  </w:style>
  <w:style w:type="paragraph" w:customStyle="1" w:styleId="32">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ascii="Times New Roman" w:hAnsi="Times New Roman" w:eastAsia="宋体" w:cs="Arial"/>
      <w:kern w:val="0"/>
      <w:szCs w:val="21"/>
    </w:rPr>
  </w:style>
  <w:style w:type="paragraph" w:customStyle="1" w:styleId="33">
    <w:name w:val="正文 首行缩进:  2 字符"/>
    <w:basedOn w:val="1"/>
    <w:qFormat/>
    <w:uiPriority w:val="0"/>
    <w:pPr>
      <w:ind w:firstLine="579" w:firstLineChars="200"/>
    </w:pPr>
    <w:rPr>
      <w:rFonts w:ascii="Calibri" w:hAnsi="Calibri"/>
      <w:szCs w:val="20"/>
    </w:rPr>
  </w:style>
  <w:style w:type="character" w:customStyle="1" w:styleId="34">
    <w:name w:val="font21"/>
    <w:basedOn w:val="24"/>
    <w:qFormat/>
    <w:uiPriority w:val="0"/>
    <w:rPr>
      <w:rFonts w:hint="eastAsia" w:ascii="宋体" w:hAnsi="宋体" w:eastAsia="宋体" w:cs="宋体"/>
      <w:color w:val="000000"/>
      <w:sz w:val="20"/>
      <w:szCs w:val="20"/>
      <w:u w:val="none"/>
    </w:rPr>
  </w:style>
  <w:style w:type="character" w:customStyle="1" w:styleId="35">
    <w:name w:val="font01"/>
    <w:basedOn w:val="24"/>
    <w:qFormat/>
    <w:uiPriority w:val="0"/>
    <w:rPr>
      <w:rFonts w:ascii="Calibri" w:hAnsi="Calibri" w:cs="Calibri"/>
      <w:color w:val="000000"/>
      <w:sz w:val="20"/>
      <w:szCs w:val="20"/>
      <w:u w:val="none"/>
    </w:rPr>
  </w:style>
  <w:style w:type="character" w:customStyle="1" w:styleId="36">
    <w:name w:val="font91"/>
    <w:basedOn w:val="24"/>
    <w:qFormat/>
    <w:uiPriority w:val="0"/>
    <w:rPr>
      <w:rFonts w:hint="eastAsia" w:ascii="宋体" w:hAnsi="宋体" w:eastAsia="宋体" w:cs="宋体"/>
      <w:b/>
      <w:color w:val="000000"/>
      <w:sz w:val="20"/>
      <w:szCs w:val="20"/>
      <w:u w:val="none"/>
    </w:rPr>
  </w:style>
  <w:style w:type="character" w:customStyle="1" w:styleId="37">
    <w:name w:val="font11"/>
    <w:basedOn w:val="24"/>
    <w:qFormat/>
    <w:uiPriority w:val="0"/>
    <w:rPr>
      <w:rFonts w:hint="eastAsia" w:ascii="宋体" w:hAnsi="宋体" w:eastAsia="宋体" w:cs="宋体"/>
      <w:color w:val="000000"/>
      <w:sz w:val="20"/>
      <w:szCs w:val="20"/>
      <w:u w:val="none"/>
    </w:rPr>
  </w:style>
  <w:style w:type="character" w:customStyle="1" w:styleId="38">
    <w:name w:val="font41"/>
    <w:basedOn w:val="24"/>
    <w:qFormat/>
    <w:uiPriority w:val="0"/>
    <w:rPr>
      <w:rFonts w:hint="eastAsia" w:ascii="宋体" w:hAnsi="宋体" w:eastAsia="宋体" w:cs="宋体"/>
      <w:color w:val="000000"/>
      <w:sz w:val="20"/>
      <w:szCs w:val="20"/>
      <w:u w:val="none"/>
    </w:rPr>
  </w:style>
  <w:style w:type="character" w:customStyle="1" w:styleId="39">
    <w:name w:val="font71"/>
    <w:basedOn w:val="24"/>
    <w:qFormat/>
    <w:uiPriority w:val="0"/>
    <w:rPr>
      <w:rFonts w:ascii="Calibri" w:hAnsi="Calibri" w:cs="Calibri"/>
      <w:color w:val="000000"/>
      <w:sz w:val="20"/>
      <w:szCs w:val="20"/>
      <w:u w:val="none"/>
    </w:rPr>
  </w:style>
  <w:style w:type="paragraph" w:customStyle="1" w:styleId="40">
    <w:name w:val="List Paragraph"/>
    <w:basedOn w:val="1"/>
    <w:qFormat/>
    <w:uiPriority w:val="34"/>
    <w:pPr>
      <w:ind w:firstLine="420"/>
    </w:pPr>
  </w:style>
  <w:style w:type="paragraph" w:customStyle="1" w:styleId="41">
    <w:name w:val="*正文"/>
    <w:basedOn w:val="1"/>
    <w:qFormat/>
    <w:uiPriority w:val="0"/>
    <w:pPr>
      <w:widowControl/>
      <w:ind w:firstLine="560"/>
      <w:jc w:val="left"/>
    </w:pPr>
    <w:rPr>
      <w:rFonts w:ascii="仿宋_GB2312" w:hAnsi="宋体" w:eastAsia="宋体" w:cs="Times New Roman"/>
      <w:color w:val="000000"/>
      <w:kern w:val="0"/>
      <w:sz w:val="24"/>
      <w:szCs w:val="28"/>
    </w:rPr>
  </w:style>
  <w:style w:type="paragraph" w:customStyle="1" w:styleId="42">
    <w:name w:val="_Style 1"/>
    <w:basedOn w:val="1"/>
    <w:qFormat/>
    <w:uiPriority w:val="34"/>
    <w:pPr>
      <w:ind w:firstLine="420" w:firstLineChars="200"/>
    </w:pPr>
    <w:rPr>
      <w:sz w:val="28"/>
      <w:szCs w:val="24"/>
    </w:rPr>
  </w:style>
  <w:style w:type="paragraph" w:customStyle="1" w:styleId="43">
    <w:name w:val="宋体五号"/>
    <w:basedOn w:val="12"/>
    <w:qFormat/>
    <w:uiPriority w:val="0"/>
    <w:pPr>
      <w:spacing w:after="0" w:line="360" w:lineRule="auto"/>
      <w:ind w:firstLine="420" w:firstLineChars="200"/>
    </w:pPr>
    <w:rPr>
      <w:rFonts w:ascii="宋体" w:hAnsi="宋体" w:eastAsia="宋体" w:cs="Times New Roman"/>
      <w:szCs w:val="21"/>
      <w:lang w:val="zh-CN" w:eastAsia="zh-CN"/>
    </w:rPr>
  </w:style>
  <w:style w:type="character" w:customStyle="1" w:styleId="44">
    <w:name w:val="dy_biao_content1"/>
    <w:qFormat/>
    <w:uiPriority w:val="0"/>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Huawei Technologies Co.,Ltd.</Company>
  <Pages>8</Pages>
  <Words>1875</Words>
  <Characters>2277</Characters>
  <Lines>1</Lines>
  <Paragraphs>1</Paragraphs>
  <TotalTime>23</TotalTime>
  <ScaleCrop>false</ScaleCrop>
  <LinksUpToDate>false</LinksUpToDate>
  <CharactersWithSpaces>2384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2020-08-01T20:53:00Z</dcterms:created>
  <dc:creator>Windows 用户</dc:creator>
  <cp:lastModifiedBy>user</cp:lastModifiedBy>
  <dcterms:modified xsi:type="dcterms:W3CDTF">2023-10-23T00:31:24Z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_2015_ms_pID_725343">
    <vt:lpwstr>(2)nHrLJmD9H0mjY+s9tFF4vVsE/djiNCw4cAuuGKwqHVVqxEl3zjDC24gq72MxK1i+JE5cc0WR
rSQNdsKLtgab/dtXkwYuxeAipxmdMrcHcJVmwfb5xQTNru5ES81Sb2GhXe1a4dQRHwDFMlCJ
7w4XWRxYmvYdYZGl5m/F1SNEO7GppjXCRFnDPNSm9Tuy5e0Exqn0Hr3cR0z20FGTFf0INYlY
fNbCm9ELjXHMspWT/4</vt:lpwstr>
  </property>
  <property fmtid="{D5CDD505-2E9C-101B-9397-08002B2CF9AE}" pid="4" name="_2015_ms_pID_7253431">
    <vt:lpwstr>Ma0UnQJ2x7YrDN2EHmhtDRlgTfCfBYzhvb81HkU2ZYAHB4LaYzj7/M
gLwGYTvZJPuMt5LdS8Y5zCcoSSh4XS4b/uPoh3jUBn1pt1/OvmALXfY9b9W8LkkBY9vG/aO9
5uiucvCbCtV7QexpbgyLYkeYgXPH0iT2YmX98byi+2HqekpITPpY29BIpPVUtmREeAaG7Ft8
wn+umQahp2WLt4Ru</vt:lpwstr>
  </property>
  <property fmtid="{D5CDD505-2E9C-101B-9397-08002B2CF9AE}" pid="5" name="ICV">
    <vt:lpwstr>C0A9D1FBC2414A769865A301A9F8455E</vt:lpwstr>
  </property>
</Properties>
</file>