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heme="minorEastAsia" w:hAnsiTheme="minorEastAsia"/>
          <w:b/>
          <w:sz w:val="28"/>
          <w:szCs w:val="28"/>
        </w:rPr>
      </w:pPr>
      <w:r>
        <w:rPr>
          <w:rFonts w:hint="eastAsia" w:asciiTheme="minorEastAsia" w:hAnsiTheme="minorEastAsia"/>
          <w:b/>
          <w:sz w:val="28"/>
          <w:szCs w:val="28"/>
        </w:rPr>
        <w:drawing>
          <wp:anchor distT="0" distB="0" distL="114300" distR="114300" simplePos="0" relativeHeight="251659264" behindDoc="0" locked="0" layoutInCell="1" allowOverlap="1">
            <wp:simplePos x="0" y="0"/>
            <wp:positionH relativeFrom="column">
              <wp:posOffset>346710</wp:posOffset>
            </wp:positionH>
            <wp:positionV relativeFrom="paragraph">
              <wp:posOffset>130175</wp:posOffset>
            </wp:positionV>
            <wp:extent cx="1778000" cy="577850"/>
            <wp:effectExtent l="0" t="0" r="5080" b="1270"/>
            <wp:wrapNone/>
            <wp:docPr id="1" name="图片 1" descr="医院新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院新LO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76253" cy="577282"/>
                    </a:xfrm>
                    <a:prstGeom prst="rect">
                      <a:avLst/>
                    </a:prstGeom>
                    <a:noFill/>
                    <a:ln>
                      <a:noFill/>
                    </a:ln>
                  </pic:spPr>
                </pic:pic>
              </a:graphicData>
            </a:graphic>
          </wp:anchor>
        </w:drawing>
      </w: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hint="eastAsia" w:asciiTheme="minorEastAsia" w:hAnsiTheme="minorEastAsia"/>
          <w:b/>
          <w:sz w:val="72"/>
          <w:szCs w:val="72"/>
        </w:rPr>
      </w:pPr>
    </w:p>
    <w:p>
      <w:pPr>
        <w:jc w:val="center"/>
        <w:rPr>
          <w:rFonts w:hint="eastAsia" w:asciiTheme="minorEastAsia" w:hAnsiTheme="minorEastAsia"/>
          <w:b/>
          <w:sz w:val="72"/>
          <w:szCs w:val="72"/>
        </w:rPr>
      </w:pPr>
    </w:p>
    <w:p>
      <w:pPr>
        <w:jc w:val="center"/>
        <w:rPr>
          <w:rFonts w:hint="eastAsia" w:asciiTheme="minorEastAsia" w:hAnsiTheme="minorEastAsia"/>
          <w:b/>
          <w:sz w:val="72"/>
          <w:szCs w:val="72"/>
        </w:rPr>
      </w:pPr>
    </w:p>
    <w:p>
      <w:pPr>
        <w:jc w:val="center"/>
        <w:rPr>
          <w:rFonts w:asciiTheme="minorEastAsia" w:hAnsiTheme="minorEastAsia"/>
          <w:b/>
          <w:sz w:val="72"/>
          <w:szCs w:val="72"/>
        </w:rPr>
      </w:pPr>
      <w:r>
        <w:rPr>
          <w:rFonts w:hint="eastAsia" w:asciiTheme="minorEastAsia" w:hAnsiTheme="minorEastAsia"/>
          <w:b/>
          <w:sz w:val="72"/>
          <w:szCs w:val="72"/>
        </w:rPr>
        <w:t>采 购 文 件</w:t>
      </w:r>
    </w:p>
    <w:p>
      <w:pPr>
        <w:jc w:val="center"/>
        <w:rPr>
          <w:rFonts w:asciiTheme="minorEastAsia" w:hAnsiTheme="minorEastAsia"/>
          <w:b/>
          <w:sz w:val="28"/>
          <w:szCs w:val="28"/>
        </w:rPr>
      </w:pPr>
    </w:p>
    <w:p>
      <w:pPr>
        <w:jc w:val="both"/>
        <w:rPr>
          <w:rFonts w:asciiTheme="minorEastAsia" w:hAnsiTheme="minorEastAsia"/>
          <w:b/>
          <w:sz w:val="28"/>
          <w:szCs w:val="28"/>
        </w:rPr>
      </w:pPr>
    </w:p>
    <w:p>
      <w:pPr>
        <w:jc w:val="center"/>
        <w:rPr>
          <w:rFonts w:asciiTheme="minorEastAsia" w:hAnsiTheme="minorEastAsia"/>
          <w:b/>
          <w:sz w:val="28"/>
          <w:szCs w:val="28"/>
        </w:rPr>
      </w:pPr>
    </w:p>
    <w:p>
      <w:pPr>
        <w:adjustRightInd w:val="0"/>
        <w:snapToGrid w:val="0"/>
        <w:jc w:val="center"/>
        <w:rPr>
          <w:rFonts w:hint="eastAsia" w:eastAsia="宋体"/>
          <w:b/>
          <w:bCs w:val="0"/>
          <w:sz w:val="36"/>
          <w:szCs w:val="36"/>
          <w:lang w:val="en-US" w:eastAsia="zh-CN"/>
        </w:rPr>
      </w:pPr>
      <w:r>
        <w:rPr>
          <w:rFonts w:hint="eastAsia" w:asciiTheme="minorEastAsia" w:hAnsiTheme="minorEastAsia"/>
          <w:b/>
          <w:sz w:val="40"/>
          <w:szCs w:val="40"/>
        </w:rPr>
        <w:t>项目名称：</w:t>
      </w:r>
      <w:r>
        <w:rPr>
          <w:rFonts w:hint="eastAsia"/>
          <w:b/>
          <w:bCs w:val="0"/>
          <w:sz w:val="36"/>
          <w:szCs w:val="36"/>
        </w:rPr>
        <w:t>国药东风总医院制剂楼网络改造</w:t>
      </w:r>
      <w:r>
        <w:rPr>
          <w:rFonts w:hint="eastAsia"/>
          <w:b/>
          <w:bCs w:val="0"/>
          <w:sz w:val="36"/>
          <w:szCs w:val="36"/>
          <w:lang w:val="en-US" w:eastAsia="zh-CN"/>
        </w:rPr>
        <w:t>项目</w:t>
      </w:r>
    </w:p>
    <w:p>
      <w:pPr>
        <w:bidi w:val="0"/>
        <w:jc w:val="center"/>
        <w:rPr>
          <w:b/>
          <w:bCs/>
          <w:sz w:val="36"/>
          <w:szCs w:val="40"/>
        </w:rPr>
      </w:pPr>
    </w:p>
    <w:p>
      <w:pPr>
        <w:pStyle w:val="19"/>
        <w:keepNext w:val="0"/>
        <w:keepLines w:val="0"/>
        <w:widowControl/>
        <w:suppressLineNumbers w:val="0"/>
        <w:spacing w:before="157" w:beforeAutospacing="0" w:after="34" w:afterAutospacing="0" w:line="364" w:lineRule="auto"/>
        <w:jc w:val="center"/>
        <w:rPr>
          <w:rFonts w:hint="eastAsia" w:asciiTheme="minorEastAsia" w:hAnsiTheme="minorEastAsia" w:eastAsiaTheme="minorEastAsia" w:cstheme="minorEastAsia"/>
          <w:b/>
          <w:bCs w:val="0"/>
          <w:sz w:val="28"/>
          <w:szCs w:val="28"/>
        </w:rPr>
      </w:pPr>
    </w:p>
    <w:p>
      <w:pPr>
        <w:jc w:val="center"/>
        <w:rPr>
          <w:rFonts w:asciiTheme="minorEastAsia" w:hAnsiTheme="minorEastAsia"/>
          <w:b/>
          <w:sz w:val="48"/>
          <w:szCs w:val="48"/>
        </w:rPr>
      </w:pPr>
    </w:p>
    <w:p>
      <w:pPr>
        <w:jc w:val="center"/>
        <w:rPr>
          <w:rFonts w:asciiTheme="minorEastAsia" w:hAnsiTheme="minorEastAsia"/>
          <w:b/>
          <w:sz w:val="48"/>
          <w:szCs w:val="48"/>
        </w:rPr>
      </w:pPr>
    </w:p>
    <w:p>
      <w:pPr>
        <w:jc w:val="both"/>
        <w:rPr>
          <w:rFonts w:asciiTheme="minorEastAsia" w:hAnsiTheme="minorEastAsia"/>
          <w:b/>
          <w:sz w:val="48"/>
          <w:szCs w:val="48"/>
        </w:rPr>
      </w:pPr>
    </w:p>
    <w:p>
      <w:pPr>
        <w:jc w:val="center"/>
        <w:rPr>
          <w:rFonts w:asciiTheme="minorEastAsia" w:hAnsiTheme="minorEastAsia"/>
          <w:b/>
          <w:sz w:val="48"/>
          <w:szCs w:val="48"/>
        </w:rPr>
      </w:pPr>
    </w:p>
    <w:p>
      <w:pPr>
        <w:jc w:val="both"/>
        <w:rPr>
          <w:rFonts w:asciiTheme="minorEastAsia" w:hAnsiTheme="minorEastAsia"/>
          <w:b/>
          <w:sz w:val="48"/>
          <w:szCs w:val="48"/>
        </w:rPr>
      </w:pPr>
    </w:p>
    <w:p>
      <w:pPr>
        <w:jc w:val="center"/>
        <w:rPr>
          <w:rFonts w:asciiTheme="minorEastAsia" w:hAnsiTheme="minorEastAsia"/>
          <w:b/>
          <w:sz w:val="28"/>
          <w:szCs w:val="28"/>
        </w:rPr>
      </w:pPr>
      <w:r>
        <w:rPr>
          <w:rFonts w:hint="eastAsia" w:asciiTheme="minorEastAsia" w:hAnsiTheme="minorEastAsia"/>
          <w:b/>
          <w:sz w:val="36"/>
          <w:szCs w:val="36"/>
        </w:rPr>
        <w:t>202</w:t>
      </w:r>
      <w:r>
        <w:rPr>
          <w:rFonts w:hint="eastAsia" w:asciiTheme="minorEastAsia" w:hAnsiTheme="minorEastAsia"/>
          <w:b/>
          <w:sz w:val="36"/>
          <w:szCs w:val="36"/>
          <w:lang w:val="en-US" w:eastAsia="zh-CN"/>
        </w:rPr>
        <w:t>2</w:t>
      </w:r>
      <w:r>
        <w:rPr>
          <w:rFonts w:hint="eastAsia" w:asciiTheme="minorEastAsia" w:hAnsiTheme="minorEastAsia"/>
          <w:b/>
          <w:sz w:val="36"/>
          <w:szCs w:val="36"/>
        </w:rPr>
        <w:t>年</w:t>
      </w:r>
      <w:r>
        <w:rPr>
          <w:rFonts w:hint="eastAsia" w:asciiTheme="minorEastAsia" w:hAnsiTheme="minorEastAsia"/>
          <w:b/>
          <w:sz w:val="36"/>
          <w:szCs w:val="36"/>
          <w:lang w:val="en-US" w:eastAsia="zh-CN"/>
        </w:rPr>
        <w:t>2</w:t>
      </w:r>
      <w:r>
        <w:rPr>
          <w:rFonts w:hint="eastAsia" w:asciiTheme="minorEastAsia" w:hAnsiTheme="minorEastAsia"/>
          <w:b/>
          <w:sz w:val="36"/>
          <w:szCs w:val="36"/>
        </w:rPr>
        <w:t>月</w:t>
      </w: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r>
        <w:rPr>
          <w:rFonts w:hint="eastAsia" w:asciiTheme="minorEastAsia" w:hAnsiTheme="minorEastAsia"/>
          <w:b/>
          <w:sz w:val="28"/>
          <w:szCs w:val="28"/>
        </w:rPr>
        <w:t>第一章 采购书</w:t>
      </w:r>
    </w:p>
    <w:p>
      <w:pPr>
        <w:spacing w:line="360" w:lineRule="auto"/>
        <w:rPr>
          <w:sz w:val="24"/>
          <w:szCs w:val="24"/>
        </w:rPr>
      </w:pPr>
    </w:p>
    <w:p>
      <w:pPr>
        <w:adjustRightInd w:val="0"/>
        <w:snapToGrid w:val="0"/>
        <w:ind w:firstLine="720" w:firstLineChars="300"/>
        <w:jc w:val="left"/>
        <w:rPr>
          <w:rFonts w:asciiTheme="minorEastAsia" w:hAnsiTheme="minorEastAsia"/>
          <w:bCs/>
          <w:sz w:val="15"/>
          <w:szCs w:val="15"/>
        </w:rPr>
      </w:pPr>
      <w:r>
        <w:rPr>
          <w:rFonts w:hint="eastAsia" w:asciiTheme="minorEastAsia" w:hAnsiTheme="minorEastAsia"/>
          <w:sz w:val="24"/>
          <w:szCs w:val="24"/>
        </w:rPr>
        <w:t>1.  项目名称</w:t>
      </w:r>
      <w:r>
        <w:rPr>
          <w:rFonts w:hint="eastAsia" w:asciiTheme="minorEastAsia" w:hAnsiTheme="minorEastAsia"/>
          <w:sz w:val="22"/>
          <w:szCs w:val="22"/>
        </w:rPr>
        <w:t>：</w:t>
      </w:r>
      <w:r>
        <w:rPr>
          <w:rFonts w:hint="eastAsia"/>
          <w:b/>
          <w:sz w:val="24"/>
          <w:szCs w:val="24"/>
        </w:rPr>
        <w:t>国药东风总医院制剂楼网络改造项目</w:t>
      </w:r>
    </w:p>
    <w:p>
      <w:pPr>
        <w:spacing w:line="360" w:lineRule="auto"/>
        <w:ind w:firstLine="720" w:firstLineChars="300"/>
        <w:rPr>
          <w:rFonts w:hint="eastAsia" w:asciiTheme="minorEastAsia" w:hAnsiTheme="minorEastAsia"/>
          <w:sz w:val="24"/>
          <w:szCs w:val="24"/>
        </w:rPr>
      </w:pPr>
      <w:r>
        <w:rPr>
          <w:rFonts w:hint="eastAsia" w:asciiTheme="minorEastAsia" w:hAnsiTheme="minorEastAsia"/>
          <w:sz w:val="24"/>
          <w:szCs w:val="24"/>
        </w:rPr>
        <w:t>2.  项目概况：详见技术要求</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3.  资金来源：自筹</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4.  交货方式、地点：</w:t>
      </w:r>
    </w:p>
    <w:p>
      <w:pPr>
        <w:spacing w:line="360" w:lineRule="auto"/>
        <w:ind w:right="-833" w:rightChars="-347" w:firstLine="1200" w:firstLineChars="500"/>
        <w:rPr>
          <w:rFonts w:asciiTheme="minorEastAsia" w:hAnsiTheme="minorEastAsia"/>
          <w:sz w:val="24"/>
          <w:szCs w:val="24"/>
        </w:rPr>
      </w:pPr>
      <w:r>
        <w:rPr>
          <w:rFonts w:hint="eastAsia" w:asciiTheme="minorEastAsia" w:hAnsiTheme="minorEastAsia"/>
          <w:sz w:val="24"/>
          <w:szCs w:val="24"/>
        </w:rPr>
        <w:t>运输方式：由报价人自行确定（包装费、运输费及保险费，包含在总报价内）</w:t>
      </w:r>
    </w:p>
    <w:p>
      <w:pPr>
        <w:spacing w:line="360" w:lineRule="auto"/>
        <w:ind w:firstLine="1200" w:firstLineChars="500"/>
        <w:rPr>
          <w:rFonts w:asciiTheme="minorEastAsia" w:hAnsiTheme="minorEastAsia"/>
          <w:sz w:val="24"/>
          <w:szCs w:val="24"/>
        </w:rPr>
      </w:pPr>
      <w:r>
        <w:rPr>
          <w:rFonts w:hint="eastAsia" w:asciiTheme="minorEastAsia" w:hAnsiTheme="minorEastAsia"/>
          <w:sz w:val="24"/>
          <w:szCs w:val="24"/>
        </w:rPr>
        <w:t>交货地点：湖北省十堰市大岭路16号</w:t>
      </w:r>
    </w:p>
    <w:p>
      <w:pPr>
        <w:spacing w:line="360" w:lineRule="auto"/>
        <w:ind w:firstLine="1262" w:firstLineChars="526"/>
        <w:rPr>
          <w:rFonts w:asciiTheme="minorEastAsia" w:hAnsiTheme="minorEastAsia"/>
          <w:sz w:val="24"/>
          <w:szCs w:val="24"/>
        </w:rPr>
      </w:pPr>
      <w:r>
        <w:rPr>
          <w:rFonts w:hint="eastAsia" w:asciiTheme="minorEastAsia" w:hAnsiTheme="minorEastAsia"/>
          <w:sz w:val="24"/>
          <w:szCs w:val="24"/>
        </w:rPr>
        <w:t>收货单位：国药东风总医院</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5.  货款结算方式：</w:t>
      </w:r>
    </w:p>
    <w:p>
      <w:pPr>
        <w:spacing w:line="360" w:lineRule="auto"/>
        <w:ind w:firstLine="1200" w:firstLineChars="500"/>
        <w:rPr>
          <w:rFonts w:hint="eastAsia" w:asciiTheme="minorEastAsia" w:hAnsiTheme="minorEastAsia"/>
          <w:sz w:val="24"/>
          <w:szCs w:val="24"/>
        </w:rPr>
      </w:pPr>
      <w:r>
        <w:rPr>
          <w:rFonts w:hint="eastAsia" w:asciiTheme="minorEastAsia" w:hAnsiTheme="minorEastAsia"/>
          <w:sz w:val="24"/>
          <w:szCs w:val="24"/>
        </w:rPr>
        <w:t>货款及运输费用等经采购人验收合格后，由国药东风总医院与卖方（中标人）结算，具体结算办法如下：</w:t>
      </w:r>
    </w:p>
    <w:p>
      <w:pPr>
        <w:adjustRightInd w:val="0"/>
        <w:snapToGrid w:val="0"/>
        <w:spacing w:line="360" w:lineRule="auto"/>
        <w:ind w:firstLine="720" w:firstLineChars="300"/>
        <w:rPr>
          <w:rStyle w:val="42"/>
          <w:rFonts w:hint="default"/>
        </w:rPr>
      </w:pPr>
      <w:r>
        <w:rPr>
          <w:rFonts w:hint="eastAsia" w:asciiTheme="minorEastAsia" w:hAnsiTheme="minorEastAsia"/>
          <w:sz w:val="24"/>
          <w:szCs w:val="24"/>
        </w:rPr>
        <w:t xml:space="preserve">5.1 </w:t>
      </w:r>
      <w:r>
        <w:rPr>
          <w:rFonts w:hint="eastAsia" w:asciiTheme="minorEastAsia" w:hAnsiTheme="minorEastAsia"/>
          <w:sz w:val="24"/>
          <w:szCs w:val="24"/>
          <w:highlight w:val="none"/>
        </w:rPr>
        <w:t>项目验收合格后，卖方向买方开具合同全额发票（普通发票或增值税专用发票），</w:t>
      </w:r>
      <w:r>
        <w:rPr>
          <w:rStyle w:val="42"/>
          <w:rFonts w:hint="default"/>
        </w:rPr>
        <w:t>买方向卖方支付合同总价</w:t>
      </w:r>
      <w:r>
        <w:rPr>
          <w:rStyle w:val="42"/>
          <w:rFonts w:hint="eastAsia"/>
          <w:lang w:val="en-US" w:eastAsia="zh-CN"/>
        </w:rPr>
        <w:t>6</w:t>
      </w:r>
      <w:r>
        <w:rPr>
          <w:rStyle w:val="42"/>
          <w:rFonts w:hint="default"/>
        </w:rPr>
        <w:t>0%的货款；</w:t>
      </w:r>
    </w:p>
    <w:p>
      <w:pPr>
        <w:adjustRightInd w:val="0"/>
        <w:snapToGrid w:val="0"/>
        <w:spacing w:line="360" w:lineRule="auto"/>
        <w:ind w:firstLine="240" w:firstLineChars="100"/>
        <w:rPr>
          <w:rStyle w:val="42"/>
          <w:rFonts w:hint="default"/>
          <w:color w:val="000000" w:themeColor="text1"/>
          <w14:textFill>
            <w14:solidFill>
              <w14:schemeClr w14:val="tx1"/>
            </w14:solidFill>
          </w14:textFill>
        </w:rPr>
      </w:pPr>
      <w:r>
        <w:rPr>
          <w:rStyle w:val="42"/>
          <w:rFonts w:hint="eastAsia"/>
          <w:lang w:val="en-US" w:eastAsia="zh-CN"/>
        </w:rPr>
        <w:t xml:space="preserve">    </w:t>
      </w:r>
      <w:r>
        <w:rPr>
          <w:rStyle w:val="42"/>
          <w:rFonts w:hint="eastAsia"/>
          <w:color w:val="000000" w:themeColor="text1"/>
          <w:lang w:val="en-US" w:eastAsia="zh-CN"/>
          <w14:textFill>
            <w14:solidFill>
              <w14:schemeClr w14:val="tx1"/>
            </w14:solidFill>
          </w14:textFill>
        </w:rPr>
        <w:t>5</w:t>
      </w:r>
      <w:r>
        <w:rPr>
          <w:rStyle w:val="42"/>
          <w:rFonts w:hint="default"/>
          <w:color w:val="000000" w:themeColor="text1"/>
          <w14:textFill>
            <w14:solidFill>
              <w14:schemeClr w14:val="tx1"/>
            </w14:solidFill>
          </w14:textFill>
        </w:rPr>
        <w:t>.2 项目终验收合格后,6个月后买方向卖方支付合同总价</w:t>
      </w:r>
      <w:r>
        <w:rPr>
          <w:rStyle w:val="42"/>
          <w:rFonts w:hint="eastAsia"/>
          <w:color w:val="000000" w:themeColor="text1"/>
          <w:lang w:val="en-US" w:eastAsia="zh-CN"/>
          <w14:textFill>
            <w14:solidFill>
              <w14:schemeClr w14:val="tx1"/>
            </w14:solidFill>
          </w14:textFill>
        </w:rPr>
        <w:t>3</w:t>
      </w:r>
      <w:r>
        <w:rPr>
          <w:rStyle w:val="42"/>
          <w:rFonts w:hint="default"/>
          <w:color w:val="000000" w:themeColor="text1"/>
          <w14:textFill>
            <w14:solidFill>
              <w14:schemeClr w14:val="tx1"/>
            </w14:solidFill>
          </w14:textFill>
        </w:rPr>
        <w:t>0%的货款；</w:t>
      </w:r>
    </w:p>
    <w:p>
      <w:pPr>
        <w:spacing w:line="360" w:lineRule="auto"/>
        <w:ind w:left="0" w:leftChars="0" w:firstLine="720" w:firstLineChars="300"/>
        <w:rPr>
          <w:rFonts w:hint="default" w:asciiTheme="minorEastAsia" w:hAnsiTheme="minorEastAsia"/>
          <w:sz w:val="24"/>
          <w:szCs w:val="24"/>
          <w:highlight w:val="none"/>
          <w:lang w:val="en-US" w:eastAsia="zh-CN"/>
        </w:rPr>
      </w:pPr>
      <w:r>
        <w:rPr>
          <w:rStyle w:val="42"/>
          <w:rFonts w:hint="eastAsia"/>
          <w:color w:val="000000" w:themeColor="text1"/>
          <w:lang w:val="en-US" w:eastAsia="zh-CN"/>
          <w14:textFill>
            <w14:solidFill>
              <w14:schemeClr w14:val="tx1"/>
            </w14:solidFill>
          </w14:textFill>
        </w:rPr>
        <w:t>5</w:t>
      </w:r>
      <w:r>
        <w:rPr>
          <w:rStyle w:val="42"/>
          <w:rFonts w:hint="default"/>
          <w:color w:val="000000" w:themeColor="text1"/>
          <w14:textFill>
            <w14:solidFill>
              <w14:schemeClr w14:val="tx1"/>
            </w14:solidFill>
          </w14:textFill>
        </w:rPr>
        <w:t>.</w:t>
      </w:r>
      <w:r>
        <w:rPr>
          <w:rStyle w:val="42"/>
          <w:rFonts w:hint="eastAsia"/>
          <w:color w:val="000000" w:themeColor="text1"/>
          <w:lang w:val="en-US" w:eastAsia="zh-CN"/>
          <w14:textFill>
            <w14:solidFill>
              <w14:schemeClr w14:val="tx1"/>
            </w14:solidFill>
          </w14:textFill>
        </w:rPr>
        <w:t>3</w:t>
      </w:r>
      <w:r>
        <w:rPr>
          <w:rStyle w:val="42"/>
          <w:rFonts w:hint="default"/>
          <w:color w:val="000000" w:themeColor="text1"/>
          <w14:textFill>
            <w14:solidFill>
              <w14:schemeClr w14:val="tx1"/>
            </w14:solidFill>
          </w14:textFill>
        </w:rPr>
        <w:t xml:space="preserve"> 项目终验收合格后,</w:t>
      </w:r>
      <w:r>
        <w:rPr>
          <w:rStyle w:val="42"/>
          <w:rFonts w:hint="eastAsia"/>
          <w:color w:val="000000" w:themeColor="text1"/>
          <w:lang w:val="en-US" w:eastAsia="zh-CN"/>
          <w14:textFill>
            <w14:solidFill>
              <w14:schemeClr w14:val="tx1"/>
            </w14:solidFill>
          </w14:textFill>
        </w:rPr>
        <w:t>1</w:t>
      </w:r>
      <w:r>
        <w:rPr>
          <w:rStyle w:val="42"/>
          <w:rFonts w:hint="default"/>
          <w:color w:val="000000" w:themeColor="text1"/>
          <w14:textFill>
            <w14:solidFill>
              <w14:schemeClr w14:val="tx1"/>
            </w14:solidFill>
          </w14:textFill>
        </w:rPr>
        <w:t>年后买方向卖方支付合同总价10%的货款。</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6.  报名时间：202</w:t>
      </w:r>
      <w:r>
        <w:rPr>
          <w:rFonts w:hint="eastAsia" w:asciiTheme="minorEastAsia" w:hAnsiTheme="minorEastAsia"/>
          <w:sz w:val="24"/>
          <w:szCs w:val="24"/>
          <w:lang w:val="en-US" w:eastAsia="zh-CN"/>
        </w:rPr>
        <w:t>2</w:t>
      </w:r>
      <w:r>
        <w:rPr>
          <w:rFonts w:hint="eastAsia" w:asciiTheme="minorEastAsia" w:hAnsiTheme="minorEastAsia"/>
          <w:sz w:val="24"/>
          <w:szCs w:val="24"/>
        </w:rPr>
        <w:t>年</w:t>
      </w:r>
      <w:r>
        <w:rPr>
          <w:rFonts w:hint="eastAsia" w:asciiTheme="minorEastAsia" w:hAnsiTheme="minorEastAsia"/>
          <w:sz w:val="24"/>
          <w:szCs w:val="24"/>
          <w:lang w:val="en-US" w:eastAsia="zh-CN"/>
        </w:rPr>
        <w:t>2</w:t>
      </w:r>
      <w:r>
        <w:rPr>
          <w:rFonts w:hint="eastAsia" w:asciiTheme="minorEastAsia" w:hAnsiTheme="minorEastAsia"/>
          <w:sz w:val="24"/>
          <w:szCs w:val="24"/>
        </w:rPr>
        <w:t>月</w:t>
      </w:r>
      <w:r>
        <w:rPr>
          <w:rFonts w:hint="eastAsia" w:asciiTheme="minorEastAsia" w:hAnsiTheme="minorEastAsia"/>
          <w:sz w:val="24"/>
          <w:szCs w:val="24"/>
          <w:lang w:val="en-US" w:eastAsia="zh-CN"/>
        </w:rPr>
        <w:t>11</w:t>
      </w:r>
      <w:r>
        <w:rPr>
          <w:rFonts w:hint="eastAsia" w:asciiTheme="minorEastAsia" w:hAnsiTheme="minorEastAsia"/>
          <w:sz w:val="24"/>
          <w:szCs w:val="24"/>
        </w:rPr>
        <w:t>日至202</w:t>
      </w:r>
      <w:r>
        <w:rPr>
          <w:rFonts w:hint="eastAsia" w:asciiTheme="minorEastAsia" w:hAnsiTheme="minorEastAsia"/>
          <w:sz w:val="24"/>
          <w:szCs w:val="24"/>
          <w:lang w:val="en-US" w:eastAsia="zh-CN"/>
        </w:rPr>
        <w:t>2</w:t>
      </w:r>
      <w:r>
        <w:rPr>
          <w:rFonts w:hint="eastAsia" w:asciiTheme="minorEastAsia" w:hAnsiTheme="minorEastAsia"/>
          <w:sz w:val="24"/>
          <w:szCs w:val="24"/>
        </w:rPr>
        <w:t>年</w:t>
      </w:r>
      <w:r>
        <w:rPr>
          <w:rFonts w:hint="eastAsia" w:asciiTheme="minorEastAsia" w:hAnsiTheme="minorEastAsia"/>
          <w:sz w:val="24"/>
          <w:szCs w:val="24"/>
          <w:lang w:val="en-US" w:eastAsia="zh-CN"/>
        </w:rPr>
        <w:t>2</w:t>
      </w:r>
      <w:r>
        <w:rPr>
          <w:rFonts w:hint="eastAsia" w:asciiTheme="minorEastAsia" w:hAnsiTheme="minorEastAsia"/>
          <w:sz w:val="24"/>
          <w:szCs w:val="24"/>
        </w:rPr>
        <w:t>月</w:t>
      </w:r>
      <w:r>
        <w:rPr>
          <w:rFonts w:hint="eastAsia" w:asciiTheme="minorEastAsia" w:hAnsiTheme="minorEastAsia"/>
          <w:sz w:val="24"/>
          <w:szCs w:val="24"/>
          <w:lang w:val="en-US" w:eastAsia="zh-CN"/>
        </w:rPr>
        <w:t>18</w:t>
      </w:r>
      <w:r>
        <w:rPr>
          <w:rFonts w:hint="eastAsia" w:asciiTheme="minorEastAsia" w:hAnsiTheme="minorEastAsia"/>
          <w:sz w:val="24"/>
          <w:szCs w:val="24"/>
        </w:rPr>
        <w:t>日</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7.  报价截止时间：202</w:t>
      </w:r>
      <w:r>
        <w:rPr>
          <w:rFonts w:hint="eastAsia" w:asciiTheme="minorEastAsia" w:hAnsiTheme="minorEastAsia"/>
          <w:sz w:val="24"/>
          <w:szCs w:val="24"/>
          <w:lang w:val="en-US" w:eastAsia="zh-CN"/>
        </w:rPr>
        <w:t>2</w:t>
      </w:r>
      <w:r>
        <w:rPr>
          <w:rFonts w:hint="eastAsia" w:asciiTheme="minorEastAsia" w:hAnsiTheme="minorEastAsia"/>
          <w:sz w:val="24"/>
          <w:szCs w:val="24"/>
        </w:rPr>
        <w:t>年</w:t>
      </w:r>
      <w:r>
        <w:rPr>
          <w:rFonts w:hint="eastAsia" w:asciiTheme="minorEastAsia" w:hAnsiTheme="minorEastAsia"/>
          <w:sz w:val="24"/>
          <w:szCs w:val="24"/>
          <w:lang w:val="en-US" w:eastAsia="zh-CN"/>
        </w:rPr>
        <w:t>2</w:t>
      </w:r>
      <w:r>
        <w:rPr>
          <w:rFonts w:hint="eastAsia" w:asciiTheme="minorEastAsia" w:hAnsiTheme="minorEastAsia"/>
          <w:sz w:val="24"/>
          <w:szCs w:val="24"/>
        </w:rPr>
        <w:t>月</w:t>
      </w:r>
      <w:r>
        <w:rPr>
          <w:rFonts w:hint="eastAsia" w:asciiTheme="minorEastAsia" w:hAnsiTheme="minorEastAsia"/>
          <w:sz w:val="24"/>
          <w:szCs w:val="24"/>
          <w:lang w:val="en-US" w:eastAsia="zh-CN"/>
        </w:rPr>
        <w:t>18</w:t>
      </w:r>
      <w:r>
        <w:rPr>
          <w:rFonts w:hint="eastAsia" w:asciiTheme="minorEastAsia" w:hAnsiTheme="minorEastAsia"/>
          <w:sz w:val="24"/>
          <w:szCs w:val="24"/>
        </w:rPr>
        <w:t>日下午18：00以前</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8.  评审时间：</w:t>
      </w:r>
      <w:r>
        <w:rPr>
          <w:rFonts w:asciiTheme="minorEastAsia" w:hAnsiTheme="minorEastAsia"/>
          <w:sz w:val="24"/>
          <w:szCs w:val="24"/>
        </w:rPr>
        <w:t>20</w:t>
      </w:r>
      <w:r>
        <w:rPr>
          <w:rFonts w:hint="eastAsia" w:asciiTheme="minorEastAsia" w:hAnsiTheme="minorEastAsia"/>
          <w:sz w:val="24"/>
          <w:szCs w:val="24"/>
          <w:lang w:val="en-US" w:eastAsia="zh-CN"/>
        </w:rPr>
        <w:t>22</w:t>
      </w:r>
      <w:r>
        <w:rPr>
          <w:rFonts w:asciiTheme="minorEastAsia" w:hAnsiTheme="minorEastAsia"/>
          <w:sz w:val="24"/>
          <w:szCs w:val="24"/>
        </w:rPr>
        <w:t>年</w:t>
      </w:r>
      <w:r>
        <w:rPr>
          <w:rFonts w:hint="eastAsia" w:asciiTheme="minorEastAsia" w:hAnsiTheme="minorEastAsia"/>
          <w:sz w:val="24"/>
          <w:szCs w:val="24"/>
          <w:lang w:val="en-US" w:eastAsia="zh-CN"/>
        </w:rPr>
        <w:t>2</w:t>
      </w:r>
      <w:r>
        <w:rPr>
          <w:rFonts w:asciiTheme="minorEastAsia" w:hAnsiTheme="minorEastAsia"/>
          <w:sz w:val="24"/>
          <w:szCs w:val="24"/>
        </w:rPr>
        <w:t>月</w:t>
      </w:r>
      <w:r>
        <w:rPr>
          <w:rFonts w:hint="eastAsia" w:asciiTheme="minorEastAsia" w:hAnsiTheme="minorEastAsia"/>
          <w:sz w:val="24"/>
          <w:szCs w:val="24"/>
          <w:lang w:val="en-US" w:eastAsia="zh-CN"/>
        </w:rPr>
        <w:t>23</w:t>
      </w:r>
      <w:bookmarkStart w:id="0" w:name="_GoBack"/>
      <w:bookmarkEnd w:id="0"/>
      <w:r>
        <w:rPr>
          <w:rFonts w:asciiTheme="minorEastAsia" w:hAnsiTheme="minorEastAsia"/>
          <w:sz w:val="24"/>
          <w:szCs w:val="24"/>
        </w:rPr>
        <w:t>日</w:t>
      </w:r>
    </w:p>
    <w:p>
      <w:pPr>
        <w:spacing w:line="360" w:lineRule="auto"/>
        <w:ind w:firstLine="720" w:firstLineChars="300"/>
        <w:rPr>
          <w:rFonts w:hint="eastAsia" w:asciiTheme="minorEastAsia" w:hAnsiTheme="minorEastAsia"/>
          <w:sz w:val="24"/>
          <w:szCs w:val="24"/>
        </w:rPr>
      </w:pPr>
      <w:r>
        <w:rPr>
          <w:rFonts w:hint="eastAsia" w:asciiTheme="minorEastAsia" w:hAnsiTheme="minorEastAsia"/>
          <w:sz w:val="24"/>
          <w:szCs w:val="24"/>
        </w:rPr>
        <w:t>9.  报价方式：纸质报价</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10. 业主联系方式：</w:t>
      </w:r>
    </w:p>
    <w:p>
      <w:pPr>
        <w:spacing w:line="360" w:lineRule="auto"/>
        <w:ind w:firstLine="1024" w:firstLineChars="427"/>
        <w:rPr>
          <w:rFonts w:asciiTheme="minorEastAsia" w:hAnsiTheme="minorEastAsia"/>
          <w:sz w:val="24"/>
          <w:szCs w:val="24"/>
        </w:rPr>
      </w:pPr>
      <w:r>
        <w:rPr>
          <w:rFonts w:hint="eastAsia" w:asciiTheme="minorEastAsia" w:hAnsiTheme="minorEastAsia"/>
          <w:sz w:val="24"/>
          <w:szCs w:val="24"/>
        </w:rPr>
        <w:t>联系单位：国药东风总医院运营管理科</w:t>
      </w:r>
    </w:p>
    <w:p>
      <w:pPr>
        <w:spacing w:line="360" w:lineRule="auto"/>
        <w:ind w:firstLine="1024" w:firstLineChars="427"/>
        <w:rPr>
          <w:rFonts w:asciiTheme="minorEastAsia" w:hAnsiTheme="minorEastAsia"/>
          <w:sz w:val="24"/>
          <w:szCs w:val="24"/>
        </w:rPr>
      </w:pPr>
      <w:r>
        <w:rPr>
          <w:rFonts w:hint="eastAsia" w:asciiTheme="minorEastAsia" w:hAnsiTheme="minorEastAsia"/>
          <w:sz w:val="24"/>
          <w:szCs w:val="24"/>
        </w:rPr>
        <w:t>联系人：陈静</w:t>
      </w:r>
    </w:p>
    <w:p>
      <w:pPr>
        <w:spacing w:line="360" w:lineRule="auto"/>
        <w:ind w:firstLine="1024" w:firstLineChars="427"/>
        <w:rPr>
          <w:rFonts w:hint="eastAsia" w:asciiTheme="minorEastAsia" w:hAnsiTheme="minorEastAsia"/>
          <w:sz w:val="24"/>
          <w:szCs w:val="24"/>
        </w:rPr>
      </w:pPr>
      <w:r>
        <w:rPr>
          <w:rFonts w:hint="eastAsia" w:asciiTheme="minorEastAsia" w:hAnsiTheme="minorEastAsia"/>
          <w:sz w:val="24"/>
          <w:szCs w:val="24"/>
        </w:rPr>
        <w:t>电话：0719-8272215    13907280772</w:t>
      </w:r>
    </w:p>
    <w:p>
      <w:pPr>
        <w:spacing w:line="360" w:lineRule="auto"/>
        <w:ind w:firstLine="480"/>
        <w:rPr>
          <w:rFonts w:hint="eastAsia" w:asciiTheme="minorEastAsia" w:hAnsiTheme="minorEastAsia"/>
          <w:sz w:val="24"/>
          <w:szCs w:val="24"/>
        </w:rPr>
      </w:pPr>
    </w:p>
    <w:p>
      <w:pPr>
        <w:spacing w:line="360" w:lineRule="auto"/>
        <w:ind w:firstLine="480"/>
        <w:rPr>
          <w:rFonts w:hint="eastAsia" w:asciiTheme="minorEastAsia" w:hAnsiTheme="minorEastAsia"/>
          <w:sz w:val="24"/>
          <w:szCs w:val="24"/>
        </w:rPr>
      </w:pPr>
    </w:p>
    <w:p>
      <w:pPr>
        <w:spacing w:line="360" w:lineRule="auto"/>
        <w:ind w:firstLine="480"/>
        <w:rPr>
          <w:rFonts w:hint="eastAsia" w:asciiTheme="minorEastAsia" w:hAnsiTheme="minorEastAsia"/>
          <w:sz w:val="24"/>
          <w:szCs w:val="24"/>
        </w:rPr>
      </w:pPr>
    </w:p>
    <w:p>
      <w:pPr>
        <w:spacing w:line="360" w:lineRule="auto"/>
        <w:ind w:firstLine="480"/>
        <w:rPr>
          <w:rFonts w:hint="eastAsia" w:asciiTheme="minorEastAsia" w:hAnsiTheme="minorEastAsia"/>
          <w:sz w:val="24"/>
          <w:szCs w:val="24"/>
        </w:rPr>
      </w:pPr>
    </w:p>
    <w:p>
      <w:pPr>
        <w:spacing w:line="360" w:lineRule="auto"/>
        <w:ind w:firstLine="480"/>
        <w:rPr>
          <w:rFonts w:hint="eastAsia" w:asciiTheme="minorEastAsia" w:hAnsiTheme="minorEastAsia"/>
          <w:sz w:val="24"/>
          <w:szCs w:val="24"/>
        </w:rPr>
      </w:pPr>
    </w:p>
    <w:p>
      <w:pPr>
        <w:pStyle w:val="2"/>
        <w:rPr>
          <w:rFonts w:hint="eastAsia" w:asciiTheme="minorEastAsia" w:hAnsiTheme="minorEastAsia"/>
          <w:sz w:val="24"/>
          <w:szCs w:val="24"/>
        </w:rPr>
      </w:pPr>
    </w:p>
    <w:p>
      <w:pPr>
        <w:pStyle w:val="2"/>
        <w:ind w:left="0" w:leftChars="0" w:firstLine="0" w:firstLineChars="0"/>
        <w:rPr>
          <w:rFonts w:hint="eastAsia" w:asciiTheme="minorEastAsia" w:hAnsiTheme="minorEastAsia"/>
          <w:sz w:val="24"/>
          <w:szCs w:val="24"/>
        </w:rPr>
      </w:pPr>
    </w:p>
    <w:p>
      <w:pPr>
        <w:adjustRightInd w:val="0"/>
        <w:snapToGrid w:val="0"/>
        <w:jc w:val="center"/>
        <w:rPr>
          <w:b/>
          <w:sz w:val="30"/>
          <w:szCs w:val="30"/>
        </w:rPr>
      </w:pPr>
      <w:r>
        <w:rPr>
          <w:rFonts w:hint="eastAsia"/>
          <w:b/>
          <w:sz w:val="30"/>
          <w:szCs w:val="30"/>
        </w:rPr>
        <w:t>国药东风总医院</w:t>
      </w:r>
    </w:p>
    <w:p>
      <w:pPr>
        <w:adjustRightInd w:val="0"/>
        <w:snapToGrid w:val="0"/>
        <w:jc w:val="center"/>
        <w:rPr>
          <w:b/>
          <w:sz w:val="30"/>
          <w:szCs w:val="30"/>
        </w:rPr>
      </w:pPr>
      <w:r>
        <w:rPr>
          <w:rFonts w:hint="eastAsia"/>
          <w:b/>
          <w:sz w:val="30"/>
          <w:szCs w:val="30"/>
        </w:rPr>
        <w:t>制剂楼网络改造项目施工要求</w:t>
      </w:r>
    </w:p>
    <w:p>
      <w:pPr>
        <w:pStyle w:val="41"/>
        <w:ind w:firstLine="480"/>
        <w:rPr>
          <w:sz w:val="24"/>
          <w:szCs w:val="24"/>
          <w:lang w:eastAsia="zh-CN"/>
        </w:rPr>
      </w:pPr>
      <w:r>
        <w:rPr>
          <w:rFonts w:hint="eastAsia"/>
          <w:sz w:val="24"/>
          <w:lang w:val="en-GB" w:eastAsia="zh-CN"/>
        </w:rPr>
        <w:t>国药</w:t>
      </w:r>
      <w:r>
        <w:rPr>
          <w:rFonts w:hint="eastAsia"/>
          <w:sz w:val="24"/>
          <w:lang w:val="en-GB"/>
        </w:rPr>
        <w:t>东风总医院</w:t>
      </w:r>
      <w:r>
        <w:rPr>
          <w:rFonts w:hint="eastAsia"/>
          <w:sz w:val="24"/>
          <w:szCs w:val="24"/>
        </w:rPr>
        <w:t>信息化</w:t>
      </w:r>
      <w:r>
        <w:rPr>
          <w:rFonts w:hint="eastAsia"/>
          <w:sz w:val="24"/>
          <w:szCs w:val="24"/>
          <w:lang w:eastAsia="zh-CN"/>
        </w:rPr>
        <w:t>弱电</w:t>
      </w:r>
      <w:r>
        <w:rPr>
          <w:rFonts w:hint="eastAsia"/>
          <w:sz w:val="24"/>
          <w:szCs w:val="24"/>
        </w:rPr>
        <w:t>工程将建设成为垂直主干千兆、水平千兆交换式计算机网络，建立有线传输、内网、外网等多应用的网络平台，实现</w:t>
      </w:r>
      <w:r>
        <w:rPr>
          <w:rFonts w:hint="eastAsia"/>
          <w:sz w:val="24"/>
          <w:szCs w:val="24"/>
          <w:lang w:eastAsia="zh-CN"/>
        </w:rPr>
        <w:t>国药</w:t>
      </w:r>
      <w:r>
        <w:rPr>
          <w:rFonts w:hint="eastAsia"/>
          <w:sz w:val="24"/>
          <w:lang w:val="en-GB"/>
        </w:rPr>
        <w:t>东风总医院</w:t>
      </w:r>
      <w:r>
        <w:rPr>
          <w:rFonts w:hint="eastAsia"/>
          <w:sz w:val="24"/>
          <w:szCs w:val="24"/>
        </w:rPr>
        <w:t>数据业务的网络化和自动化，实现资源共享和信息的快速传递，提高工作效率，提升</w:t>
      </w:r>
      <w:r>
        <w:rPr>
          <w:rFonts w:hint="eastAsia"/>
          <w:sz w:val="24"/>
          <w:szCs w:val="24"/>
          <w:lang w:eastAsia="zh-CN"/>
        </w:rPr>
        <w:t>院区</w:t>
      </w:r>
      <w:r>
        <w:rPr>
          <w:rFonts w:hint="eastAsia"/>
          <w:sz w:val="24"/>
          <w:szCs w:val="24"/>
        </w:rPr>
        <w:t>监督管理信息水平。</w:t>
      </w:r>
    </w:p>
    <w:p>
      <w:pPr>
        <w:pStyle w:val="41"/>
        <w:ind w:firstLine="482"/>
        <w:rPr>
          <w:b/>
          <w:sz w:val="24"/>
          <w:szCs w:val="24"/>
          <w:lang w:eastAsia="zh-CN"/>
        </w:rPr>
      </w:pPr>
      <w:r>
        <w:rPr>
          <w:rFonts w:hint="eastAsia"/>
          <w:b/>
          <w:sz w:val="24"/>
          <w:szCs w:val="24"/>
          <w:lang w:eastAsia="zh-CN"/>
        </w:rPr>
        <w:t>背景：</w:t>
      </w:r>
    </w:p>
    <w:p>
      <w:pPr>
        <w:pStyle w:val="41"/>
        <w:ind w:firstLine="480"/>
        <w:rPr>
          <w:sz w:val="24"/>
          <w:szCs w:val="24"/>
          <w:lang w:eastAsia="zh-CN"/>
        </w:rPr>
      </w:pPr>
      <w:r>
        <w:rPr>
          <w:rFonts w:hint="eastAsia"/>
          <w:sz w:val="24"/>
          <w:lang w:val="en-GB" w:eastAsia="zh-CN"/>
        </w:rPr>
        <w:t>国药</w:t>
      </w:r>
      <w:r>
        <w:rPr>
          <w:rFonts w:hint="eastAsia"/>
          <w:sz w:val="24"/>
          <w:lang w:val="en-GB"/>
        </w:rPr>
        <w:t>东风总医院</w:t>
      </w:r>
      <w:r>
        <w:rPr>
          <w:rFonts w:hint="eastAsia"/>
          <w:sz w:val="24"/>
          <w:lang w:val="en-GB" w:eastAsia="zh-CN"/>
        </w:rPr>
        <w:t>制剂楼因内部结构调整、房间功能改变、科室调动等原因，需进行主干光缆、制剂楼内共</w:t>
      </w:r>
      <w:r>
        <w:rPr>
          <w:sz w:val="24"/>
          <w:lang w:val="en-GB" w:eastAsia="zh-CN"/>
        </w:rPr>
        <w:t>24</w:t>
      </w:r>
      <w:r>
        <w:rPr>
          <w:rFonts w:hint="eastAsia"/>
          <w:sz w:val="24"/>
          <w:lang w:val="en-GB" w:eastAsia="zh-CN"/>
        </w:rPr>
        <w:t>个信息点位、</w:t>
      </w:r>
      <w:r>
        <w:rPr>
          <w:sz w:val="24"/>
          <w:lang w:val="en-GB" w:eastAsia="zh-CN"/>
        </w:rPr>
        <w:t>3</w:t>
      </w:r>
      <w:r>
        <w:rPr>
          <w:rFonts w:hint="eastAsia"/>
          <w:sz w:val="24"/>
          <w:lang w:val="en-GB" w:eastAsia="zh-CN"/>
        </w:rPr>
        <w:t>个电话点位需要进行网络综合布线改造。</w:t>
      </w:r>
    </w:p>
    <w:p>
      <w:pPr>
        <w:pStyle w:val="41"/>
        <w:ind w:firstLine="482"/>
        <w:rPr>
          <w:b/>
          <w:sz w:val="24"/>
          <w:szCs w:val="24"/>
          <w:lang w:eastAsia="zh-CN"/>
        </w:rPr>
      </w:pPr>
      <w:r>
        <w:rPr>
          <w:rFonts w:hint="eastAsia"/>
          <w:b/>
          <w:sz w:val="24"/>
          <w:szCs w:val="24"/>
          <w:lang w:eastAsia="zh-CN"/>
        </w:rPr>
        <w:t>要求：</w:t>
      </w:r>
    </w:p>
    <w:p>
      <w:pPr>
        <w:pStyle w:val="41"/>
        <w:ind w:firstLine="480"/>
        <w:rPr>
          <w:sz w:val="24"/>
          <w:szCs w:val="24"/>
          <w:lang w:eastAsia="zh-CN"/>
        </w:rPr>
      </w:pPr>
      <w:r>
        <w:rPr>
          <w:rFonts w:hint="eastAsia"/>
          <w:sz w:val="24"/>
          <w:szCs w:val="24"/>
          <w:lang w:eastAsia="zh-CN"/>
        </w:rPr>
        <w:t>1、</w:t>
      </w:r>
      <w:r>
        <w:rPr>
          <w:rFonts w:hint="eastAsia"/>
          <w:sz w:val="24"/>
          <w:szCs w:val="24"/>
        </w:rPr>
        <w:t>工作区子系统</w:t>
      </w:r>
    </w:p>
    <w:p>
      <w:pPr>
        <w:pStyle w:val="41"/>
        <w:ind w:firstLine="480"/>
        <w:rPr>
          <w:sz w:val="24"/>
          <w:szCs w:val="24"/>
          <w:lang w:eastAsia="zh-CN"/>
        </w:rPr>
      </w:pPr>
      <w:r>
        <w:rPr>
          <w:rFonts w:hint="eastAsia"/>
          <w:sz w:val="24"/>
          <w:szCs w:val="24"/>
          <w:lang w:eastAsia="zh-CN"/>
        </w:rPr>
        <w:t>暗装或明装PVC线槽，按房间要求配置单口或双口面板，并做好标识标记。</w:t>
      </w:r>
    </w:p>
    <w:p>
      <w:pPr>
        <w:pStyle w:val="41"/>
        <w:ind w:firstLine="537" w:firstLineChars="224"/>
        <w:rPr>
          <w:sz w:val="24"/>
          <w:szCs w:val="24"/>
          <w:lang w:eastAsia="zh-CN"/>
        </w:rPr>
      </w:pPr>
      <w:r>
        <w:rPr>
          <w:rFonts w:hint="eastAsia"/>
          <w:sz w:val="24"/>
          <w:szCs w:val="24"/>
          <w:lang w:eastAsia="zh-CN"/>
        </w:rPr>
        <w:t>2、</w:t>
      </w:r>
      <w:r>
        <w:rPr>
          <w:rFonts w:hint="eastAsia"/>
          <w:sz w:val="24"/>
          <w:szCs w:val="24"/>
        </w:rPr>
        <w:t>水平区子系统</w:t>
      </w:r>
    </w:p>
    <w:p>
      <w:pPr>
        <w:pStyle w:val="41"/>
        <w:ind w:firstLine="480"/>
        <w:rPr>
          <w:sz w:val="24"/>
          <w:szCs w:val="24"/>
          <w:lang w:eastAsia="zh-CN"/>
        </w:rPr>
      </w:pPr>
      <w:r>
        <w:rPr>
          <w:rFonts w:hint="eastAsia"/>
          <w:sz w:val="24"/>
          <w:szCs w:val="24"/>
          <w:lang w:eastAsia="zh-CN"/>
        </w:rPr>
        <w:t>水平线缆经暗装或明装PVC线槽，走线至各工作区。机柜端与信息插座之间均为点到点端接。</w:t>
      </w:r>
    </w:p>
    <w:p>
      <w:pPr>
        <w:pStyle w:val="41"/>
        <w:ind w:firstLine="537" w:firstLineChars="224"/>
        <w:rPr>
          <w:sz w:val="24"/>
          <w:szCs w:val="24"/>
          <w:lang w:eastAsia="zh-CN"/>
        </w:rPr>
      </w:pPr>
      <w:r>
        <w:rPr>
          <w:rFonts w:hint="eastAsia"/>
          <w:sz w:val="24"/>
          <w:szCs w:val="24"/>
          <w:lang w:eastAsia="zh-CN"/>
        </w:rPr>
        <w:t>3、</w:t>
      </w:r>
      <w:r>
        <w:rPr>
          <w:rFonts w:hint="eastAsia"/>
          <w:sz w:val="24"/>
          <w:szCs w:val="24"/>
        </w:rPr>
        <w:t>垂直主干子系统</w:t>
      </w:r>
    </w:p>
    <w:p>
      <w:pPr>
        <w:pStyle w:val="41"/>
        <w:ind w:firstLine="537" w:firstLineChars="224"/>
        <w:rPr>
          <w:sz w:val="24"/>
          <w:szCs w:val="24"/>
          <w:lang w:eastAsia="zh-CN"/>
        </w:rPr>
      </w:pPr>
      <w:r>
        <w:rPr>
          <w:rFonts w:hint="eastAsia"/>
          <w:sz w:val="24"/>
          <w:szCs w:val="24"/>
          <w:lang w:eastAsia="zh-CN"/>
        </w:rPr>
        <w:t>由</w:t>
      </w:r>
      <w:r>
        <w:rPr>
          <w:sz w:val="24"/>
          <w:szCs w:val="24"/>
          <w:lang w:eastAsia="zh-CN"/>
        </w:rPr>
        <w:t>3</w:t>
      </w:r>
      <w:r>
        <w:rPr>
          <w:rFonts w:hint="eastAsia"/>
          <w:sz w:val="24"/>
          <w:szCs w:val="24"/>
          <w:lang w:eastAsia="zh-CN"/>
        </w:rPr>
        <w:t>楼机房向上、下打通垂直通道，注意</w:t>
      </w:r>
      <w:r>
        <w:rPr>
          <w:rFonts w:hint="eastAsia"/>
          <w:sz w:val="24"/>
          <w:szCs w:val="24"/>
        </w:rPr>
        <w:t>垂直</w:t>
      </w:r>
      <w:r>
        <w:rPr>
          <w:rFonts w:hint="eastAsia"/>
          <w:sz w:val="24"/>
          <w:szCs w:val="24"/>
          <w:lang w:eastAsia="zh-CN"/>
        </w:rPr>
        <w:t>通道线槽</w:t>
      </w:r>
      <w:r>
        <w:rPr>
          <w:rFonts w:hint="eastAsia"/>
          <w:sz w:val="24"/>
          <w:szCs w:val="24"/>
        </w:rPr>
        <w:t>内应仔细考虑双绞线的固定</w:t>
      </w:r>
      <w:r>
        <w:rPr>
          <w:rFonts w:hint="eastAsia"/>
          <w:sz w:val="24"/>
          <w:szCs w:val="24"/>
          <w:lang w:eastAsia="zh-CN"/>
        </w:rPr>
        <w:t>，避免因太重导致拉伸、变形。</w:t>
      </w:r>
    </w:p>
    <w:p>
      <w:pPr>
        <w:pStyle w:val="41"/>
        <w:ind w:firstLine="537" w:firstLineChars="224"/>
        <w:rPr>
          <w:sz w:val="24"/>
          <w:szCs w:val="24"/>
          <w:lang w:eastAsia="zh-CN"/>
        </w:rPr>
      </w:pPr>
      <w:r>
        <w:rPr>
          <w:rFonts w:hint="eastAsia"/>
          <w:sz w:val="24"/>
          <w:szCs w:val="24"/>
          <w:lang w:eastAsia="zh-CN"/>
        </w:rPr>
        <w:t>4、</w:t>
      </w:r>
      <w:r>
        <w:rPr>
          <w:rFonts w:hint="eastAsia"/>
          <w:sz w:val="24"/>
          <w:szCs w:val="24"/>
        </w:rPr>
        <w:t>管理区子系统</w:t>
      </w:r>
    </w:p>
    <w:p>
      <w:pPr>
        <w:pStyle w:val="41"/>
        <w:ind w:firstLine="537" w:firstLineChars="224"/>
        <w:rPr>
          <w:sz w:val="24"/>
          <w:szCs w:val="24"/>
          <w:lang w:eastAsia="zh-CN"/>
        </w:rPr>
      </w:pPr>
      <w:r>
        <w:rPr>
          <w:rFonts w:hint="eastAsia"/>
          <w:sz w:val="24"/>
          <w:szCs w:val="24"/>
        </w:rPr>
        <w:t>双绞线及垂直主干线缆均端接到</w:t>
      </w:r>
      <w:r>
        <w:rPr>
          <w:rFonts w:hint="eastAsia"/>
          <w:sz w:val="24"/>
          <w:szCs w:val="24"/>
          <w:lang w:eastAsia="zh-CN"/>
        </w:rPr>
        <w:t>机柜内部</w:t>
      </w:r>
      <w:r>
        <w:rPr>
          <w:rFonts w:hint="eastAsia"/>
          <w:sz w:val="24"/>
          <w:szCs w:val="24"/>
        </w:rPr>
        <w:t>，所有的线缆，包括双绞线、光纤等均汇聚在机柜的正下方穿引至机柜，然后进行线缆的分布和整理。在机柜内，所有</w:t>
      </w:r>
      <w:r>
        <w:rPr>
          <w:rFonts w:hint="eastAsia"/>
          <w:sz w:val="24"/>
          <w:szCs w:val="24"/>
          <w:lang w:eastAsia="zh-CN"/>
        </w:rPr>
        <w:t>线缆</w:t>
      </w:r>
      <w:r>
        <w:rPr>
          <w:rFonts w:hint="eastAsia"/>
          <w:sz w:val="24"/>
          <w:szCs w:val="24"/>
        </w:rPr>
        <w:t>均通过一定的编号规则和颜色规则，采用不易磨损和脱落的标识，并在最终设备和网络验收过程中形成详细的书面和电子记录，方便以后对网络的管理和维护。</w:t>
      </w:r>
    </w:p>
    <w:p>
      <w:pPr>
        <w:pStyle w:val="41"/>
        <w:ind w:firstLine="417" w:firstLineChars="174"/>
        <w:rPr>
          <w:sz w:val="24"/>
          <w:szCs w:val="24"/>
          <w:lang w:eastAsia="zh-CN"/>
        </w:rPr>
      </w:pPr>
      <w:r>
        <w:rPr>
          <w:rFonts w:hint="eastAsia"/>
          <w:sz w:val="24"/>
          <w:szCs w:val="24"/>
          <w:lang w:eastAsia="zh-CN"/>
        </w:rPr>
        <w:t xml:space="preserve"> 5、施工材料</w:t>
      </w:r>
    </w:p>
    <w:p>
      <w:pPr>
        <w:pStyle w:val="41"/>
        <w:ind w:firstLine="417" w:firstLineChars="174"/>
        <w:rPr>
          <w:sz w:val="24"/>
          <w:szCs w:val="24"/>
          <w:lang w:eastAsia="zh-CN"/>
        </w:rPr>
      </w:pPr>
      <w:r>
        <w:rPr>
          <w:rFonts w:hint="eastAsia"/>
          <w:sz w:val="24"/>
          <w:szCs w:val="24"/>
          <w:lang w:eastAsia="zh-CN"/>
        </w:rPr>
        <w:t>主干光缆产品采购国内知名品牌并保证光纤产品及配件采用同一品牌产品；超五类布线产品使用正规厂家的产品，并保证超五类布线主要产品采用同一品牌。</w:t>
      </w:r>
    </w:p>
    <w:p>
      <w:pPr>
        <w:widowControl/>
        <w:jc w:val="left"/>
        <w:rPr>
          <w:rFonts w:ascii="宋体" w:hAnsi="宋体" w:eastAsia="宋体" w:cs="Times New Roman"/>
          <w:sz w:val="24"/>
          <w:szCs w:val="24"/>
          <w:lang w:val="zh-CN"/>
        </w:rPr>
      </w:pPr>
      <w:r>
        <w:rPr>
          <w:sz w:val="24"/>
          <w:szCs w:val="24"/>
        </w:rPr>
        <w:br w:type="page"/>
      </w:r>
    </w:p>
    <w:p>
      <w:pPr>
        <w:pStyle w:val="41"/>
        <w:ind w:firstLine="0" w:firstLineChars="0"/>
        <w:rPr>
          <w:sz w:val="24"/>
          <w:szCs w:val="24"/>
          <w:lang w:eastAsia="zh-CN"/>
        </w:rPr>
      </w:pPr>
    </w:p>
    <w:tbl>
      <w:tblPr>
        <w:tblStyle w:val="2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552"/>
        <w:gridCol w:w="1276"/>
        <w:gridCol w:w="968"/>
        <w:gridCol w:w="769"/>
        <w:gridCol w:w="726"/>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2552" w:type="dxa"/>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名称</w:t>
            </w:r>
          </w:p>
        </w:tc>
        <w:tc>
          <w:tcPr>
            <w:tcW w:w="1276" w:type="dxa"/>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型号</w:t>
            </w:r>
          </w:p>
        </w:tc>
        <w:tc>
          <w:tcPr>
            <w:tcW w:w="968" w:type="dxa"/>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数量</w:t>
            </w:r>
          </w:p>
        </w:tc>
        <w:tc>
          <w:tcPr>
            <w:tcW w:w="769" w:type="dxa"/>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单位</w:t>
            </w:r>
          </w:p>
        </w:tc>
        <w:tc>
          <w:tcPr>
            <w:tcW w:w="726" w:type="dxa"/>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单价</w:t>
            </w:r>
          </w:p>
        </w:tc>
        <w:tc>
          <w:tcPr>
            <w:tcW w:w="850" w:type="dxa"/>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金额</w:t>
            </w:r>
          </w:p>
        </w:tc>
        <w:tc>
          <w:tcPr>
            <w:tcW w:w="709" w:type="dxa"/>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2552" w:type="dxa"/>
            <w:noWrap/>
            <w:vAlign w:val="center"/>
          </w:tcPr>
          <w:p>
            <w:pPr>
              <w:widowControl/>
              <w:jc w:val="center"/>
              <w:rPr>
                <w:rFonts w:ascii="宋体" w:hAnsi="宋体" w:eastAsia="宋体" w:cs="宋体"/>
                <w:kern w:val="0"/>
                <w:sz w:val="22"/>
              </w:rPr>
            </w:pPr>
            <w:r>
              <w:rPr>
                <w:rFonts w:hint="eastAsia"/>
                <w:sz w:val="24"/>
                <w:szCs w:val="24"/>
              </w:rPr>
              <w:t>超五类</w:t>
            </w:r>
            <w:r>
              <w:rPr>
                <w:rFonts w:hint="eastAsia"/>
                <w:color w:val="000000"/>
                <w:sz w:val="22"/>
              </w:rPr>
              <w:t>非屏蔽网线</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color w:val="000000"/>
                <w:sz w:val="22"/>
              </w:rPr>
              <w:t>5</w:t>
            </w:r>
          </w:p>
        </w:tc>
        <w:tc>
          <w:tcPr>
            <w:tcW w:w="769" w:type="dxa"/>
            <w:noWrap/>
            <w:vAlign w:val="center"/>
          </w:tcPr>
          <w:p>
            <w:pPr>
              <w:widowControl/>
              <w:jc w:val="center"/>
              <w:rPr>
                <w:rFonts w:ascii="宋体" w:hAnsi="宋体" w:eastAsia="宋体" w:cs="宋体"/>
                <w:kern w:val="0"/>
                <w:sz w:val="22"/>
              </w:rPr>
            </w:pPr>
            <w:r>
              <w:rPr>
                <w:rFonts w:hint="eastAsia"/>
                <w:color w:val="000000"/>
                <w:sz w:val="22"/>
              </w:rPr>
              <w:t>箱</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2552" w:type="dxa"/>
            <w:noWrap/>
            <w:vAlign w:val="center"/>
          </w:tcPr>
          <w:p>
            <w:pPr>
              <w:widowControl/>
              <w:jc w:val="center"/>
              <w:rPr>
                <w:rFonts w:ascii="宋体" w:hAnsi="宋体" w:eastAsia="宋体" w:cs="宋体"/>
                <w:kern w:val="0"/>
                <w:sz w:val="22"/>
              </w:rPr>
            </w:pPr>
            <w:r>
              <w:rPr>
                <w:rFonts w:hint="eastAsia"/>
                <w:sz w:val="24"/>
                <w:szCs w:val="24"/>
              </w:rPr>
              <w:t>超五类</w:t>
            </w:r>
            <w:r>
              <w:rPr>
                <w:rFonts w:hint="eastAsia"/>
                <w:color w:val="000000"/>
                <w:sz w:val="22"/>
              </w:rPr>
              <w:t>非屏蔽模块</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color w:val="000000"/>
                <w:sz w:val="22"/>
              </w:rPr>
              <w:t>24</w:t>
            </w:r>
          </w:p>
        </w:tc>
        <w:tc>
          <w:tcPr>
            <w:tcW w:w="769" w:type="dxa"/>
            <w:noWrap/>
            <w:vAlign w:val="center"/>
          </w:tcPr>
          <w:p>
            <w:pPr>
              <w:widowControl/>
              <w:jc w:val="center"/>
              <w:rPr>
                <w:rFonts w:ascii="宋体" w:hAnsi="宋体" w:eastAsia="宋体" w:cs="宋体"/>
                <w:kern w:val="0"/>
                <w:sz w:val="22"/>
              </w:rPr>
            </w:pPr>
            <w:r>
              <w:rPr>
                <w:rFonts w:hint="eastAsia"/>
                <w:color w:val="000000"/>
                <w:sz w:val="22"/>
              </w:rPr>
              <w:t>个</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2552" w:type="dxa"/>
            <w:noWrap/>
            <w:vAlign w:val="center"/>
          </w:tcPr>
          <w:p>
            <w:pPr>
              <w:widowControl/>
              <w:jc w:val="center"/>
              <w:rPr>
                <w:rFonts w:ascii="宋体" w:hAnsi="宋体" w:eastAsia="宋体" w:cs="宋体"/>
                <w:kern w:val="0"/>
                <w:sz w:val="22"/>
              </w:rPr>
            </w:pPr>
            <w:r>
              <w:rPr>
                <w:rFonts w:hint="eastAsia"/>
                <w:sz w:val="24"/>
                <w:szCs w:val="24"/>
              </w:rPr>
              <w:t>超五类非屏蔽水晶头</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color w:val="000000"/>
                <w:sz w:val="22"/>
              </w:rPr>
              <w:t>1</w:t>
            </w:r>
          </w:p>
        </w:tc>
        <w:tc>
          <w:tcPr>
            <w:tcW w:w="769" w:type="dxa"/>
            <w:noWrap/>
            <w:vAlign w:val="center"/>
          </w:tcPr>
          <w:p>
            <w:pPr>
              <w:widowControl/>
              <w:jc w:val="center"/>
              <w:rPr>
                <w:rFonts w:ascii="宋体" w:hAnsi="宋体" w:eastAsia="宋体" w:cs="宋体"/>
                <w:kern w:val="0"/>
                <w:sz w:val="22"/>
              </w:rPr>
            </w:pPr>
            <w:r>
              <w:rPr>
                <w:rFonts w:hint="eastAsia"/>
                <w:color w:val="000000"/>
                <w:sz w:val="22"/>
              </w:rPr>
              <w:t>盒</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2552" w:type="dxa"/>
            <w:noWrap/>
            <w:vAlign w:val="center"/>
          </w:tcPr>
          <w:p>
            <w:pPr>
              <w:widowControl/>
              <w:jc w:val="center"/>
              <w:rPr>
                <w:rFonts w:ascii="宋体" w:hAnsi="宋体" w:eastAsia="宋体" w:cs="宋体"/>
                <w:kern w:val="0"/>
                <w:sz w:val="22"/>
              </w:rPr>
            </w:pPr>
            <w:r>
              <w:rPr>
                <w:rFonts w:hint="eastAsia"/>
                <w:color w:val="000000"/>
                <w:sz w:val="22"/>
              </w:rPr>
              <w:t>单口面板</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rFonts w:hint="eastAsia"/>
                <w:color w:val="000000"/>
                <w:sz w:val="22"/>
              </w:rPr>
              <w:t>6</w:t>
            </w:r>
          </w:p>
        </w:tc>
        <w:tc>
          <w:tcPr>
            <w:tcW w:w="769" w:type="dxa"/>
            <w:noWrap/>
            <w:vAlign w:val="center"/>
          </w:tcPr>
          <w:p>
            <w:pPr>
              <w:widowControl/>
              <w:jc w:val="center"/>
              <w:rPr>
                <w:rFonts w:ascii="宋体" w:hAnsi="宋体" w:eastAsia="宋体" w:cs="宋体"/>
                <w:kern w:val="0"/>
                <w:sz w:val="22"/>
              </w:rPr>
            </w:pPr>
            <w:r>
              <w:rPr>
                <w:rFonts w:hint="eastAsia"/>
                <w:color w:val="000000"/>
                <w:sz w:val="22"/>
              </w:rPr>
              <w:t>个</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2552" w:type="dxa"/>
            <w:noWrap/>
            <w:vAlign w:val="center"/>
          </w:tcPr>
          <w:p>
            <w:pPr>
              <w:widowControl/>
              <w:jc w:val="center"/>
              <w:rPr>
                <w:rFonts w:ascii="宋体" w:hAnsi="宋体" w:eastAsia="宋体" w:cs="宋体"/>
                <w:kern w:val="0"/>
                <w:sz w:val="22"/>
              </w:rPr>
            </w:pPr>
            <w:r>
              <w:rPr>
                <w:rFonts w:hint="eastAsia"/>
                <w:color w:val="000000"/>
                <w:sz w:val="22"/>
              </w:rPr>
              <w:t>双口面板</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color w:val="000000"/>
                <w:sz w:val="22"/>
              </w:rPr>
              <w:t>9</w:t>
            </w:r>
          </w:p>
        </w:tc>
        <w:tc>
          <w:tcPr>
            <w:tcW w:w="769" w:type="dxa"/>
            <w:noWrap/>
            <w:vAlign w:val="center"/>
          </w:tcPr>
          <w:p>
            <w:pPr>
              <w:widowControl/>
              <w:jc w:val="center"/>
              <w:rPr>
                <w:rFonts w:ascii="宋体" w:hAnsi="宋体" w:eastAsia="宋体" w:cs="宋体"/>
                <w:kern w:val="0"/>
                <w:sz w:val="22"/>
              </w:rPr>
            </w:pPr>
            <w:r>
              <w:rPr>
                <w:rFonts w:hint="eastAsia"/>
                <w:color w:val="000000"/>
                <w:sz w:val="22"/>
              </w:rPr>
              <w:t>个</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2552" w:type="dxa"/>
            <w:noWrap/>
            <w:vAlign w:val="center"/>
          </w:tcPr>
          <w:p>
            <w:pPr>
              <w:widowControl/>
              <w:jc w:val="center"/>
              <w:rPr>
                <w:rFonts w:ascii="宋体" w:hAnsi="宋体" w:eastAsia="宋体" w:cs="宋体"/>
                <w:kern w:val="0"/>
                <w:sz w:val="22"/>
              </w:rPr>
            </w:pPr>
            <w:r>
              <w:rPr>
                <w:rFonts w:hint="eastAsia"/>
                <w:sz w:val="22"/>
              </w:rPr>
              <w:t>1U理线器</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sz w:val="22"/>
              </w:rPr>
              <w:t>2</w:t>
            </w:r>
          </w:p>
        </w:tc>
        <w:tc>
          <w:tcPr>
            <w:tcW w:w="769" w:type="dxa"/>
            <w:noWrap/>
            <w:vAlign w:val="center"/>
          </w:tcPr>
          <w:p>
            <w:pPr>
              <w:widowControl/>
              <w:jc w:val="center"/>
              <w:rPr>
                <w:rFonts w:ascii="宋体" w:hAnsi="宋体" w:eastAsia="宋体" w:cs="宋体"/>
                <w:kern w:val="0"/>
                <w:sz w:val="22"/>
              </w:rPr>
            </w:pPr>
            <w:r>
              <w:rPr>
                <w:rFonts w:hint="eastAsia"/>
                <w:sz w:val="22"/>
              </w:rPr>
              <w:t>个</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ascii="宋体" w:hAnsi="宋体" w:eastAsia="宋体" w:cs="宋体"/>
                <w:kern w:val="0"/>
                <w:sz w:val="22"/>
              </w:rPr>
              <w:t>7</w:t>
            </w:r>
          </w:p>
        </w:tc>
        <w:tc>
          <w:tcPr>
            <w:tcW w:w="2552" w:type="dxa"/>
            <w:noWrap/>
            <w:vAlign w:val="center"/>
          </w:tcPr>
          <w:p>
            <w:pPr>
              <w:widowControl/>
              <w:jc w:val="center"/>
              <w:rPr>
                <w:rFonts w:ascii="宋体" w:hAnsi="宋体" w:eastAsia="宋体" w:cs="宋体"/>
                <w:kern w:val="0"/>
                <w:sz w:val="22"/>
              </w:rPr>
            </w:pPr>
            <w:r>
              <w:rPr>
                <w:rFonts w:hint="eastAsia"/>
                <w:sz w:val="22"/>
              </w:rPr>
              <w:t>3米</w:t>
            </w:r>
            <w:r>
              <w:rPr>
                <w:rFonts w:hint="eastAsia"/>
                <w:sz w:val="24"/>
                <w:szCs w:val="24"/>
              </w:rPr>
              <w:t>超五类</w:t>
            </w:r>
            <w:r>
              <w:rPr>
                <w:rFonts w:hint="eastAsia"/>
                <w:sz w:val="22"/>
              </w:rPr>
              <w:t>非屏蔽网络跳线</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sz w:val="22"/>
              </w:rPr>
              <w:t>48</w:t>
            </w:r>
          </w:p>
        </w:tc>
        <w:tc>
          <w:tcPr>
            <w:tcW w:w="769" w:type="dxa"/>
            <w:noWrap/>
            <w:vAlign w:val="center"/>
          </w:tcPr>
          <w:p>
            <w:pPr>
              <w:widowControl/>
              <w:jc w:val="center"/>
              <w:rPr>
                <w:rFonts w:ascii="宋体" w:hAnsi="宋体" w:eastAsia="宋体" w:cs="宋体"/>
                <w:kern w:val="0"/>
                <w:sz w:val="22"/>
              </w:rPr>
            </w:pPr>
            <w:r>
              <w:rPr>
                <w:rFonts w:hint="eastAsia"/>
                <w:sz w:val="22"/>
              </w:rPr>
              <w:t>根</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ascii="宋体" w:hAnsi="宋体" w:eastAsia="宋体" w:cs="宋体"/>
                <w:kern w:val="0"/>
                <w:sz w:val="22"/>
              </w:rPr>
              <w:t>8</w:t>
            </w:r>
          </w:p>
        </w:tc>
        <w:tc>
          <w:tcPr>
            <w:tcW w:w="2552" w:type="dxa"/>
            <w:noWrap/>
            <w:vAlign w:val="center"/>
          </w:tcPr>
          <w:p>
            <w:pPr>
              <w:widowControl/>
              <w:jc w:val="center"/>
              <w:rPr>
                <w:rFonts w:ascii="宋体" w:hAnsi="宋体" w:eastAsia="宋体" w:cs="宋体"/>
                <w:kern w:val="0"/>
                <w:sz w:val="22"/>
              </w:rPr>
            </w:pPr>
            <w:r>
              <w:rPr>
                <w:rFonts w:hint="eastAsia"/>
                <w:color w:val="000000"/>
                <w:sz w:val="22"/>
              </w:rPr>
              <w:t>标示系统9MM</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color w:val="000000"/>
                <w:sz w:val="22"/>
              </w:rPr>
              <w:t>1</w:t>
            </w:r>
          </w:p>
        </w:tc>
        <w:tc>
          <w:tcPr>
            <w:tcW w:w="769" w:type="dxa"/>
            <w:noWrap/>
            <w:vAlign w:val="center"/>
          </w:tcPr>
          <w:p>
            <w:pPr>
              <w:widowControl/>
              <w:jc w:val="center"/>
              <w:rPr>
                <w:rFonts w:ascii="宋体" w:hAnsi="宋体" w:eastAsia="宋体" w:cs="宋体"/>
                <w:kern w:val="0"/>
                <w:sz w:val="22"/>
              </w:rPr>
            </w:pPr>
            <w:r>
              <w:rPr>
                <w:rFonts w:hint="eastAsia"/>
                <w:color w:val="000000"/>
                <w:sz w:val="22"/>
              </w:rPr>
              <w:t>盒</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ascii="宋体" w:hAnsi="宋体" w:eastAsia="宋体" w:cs="宋体"/>
                <w:kern w:val="0"/>
                <w:sz w:val="22"/>
              </w:rPr>
              <w:t>9</w:t>
            </w:r>
          </w:p>
        </w:tc>
        <w:tc>
          <w:tcPr>
            <w:tcW w:w="2552" w:type="dxa"/>
            <w:noWrap/>
            <w:vAlign w:val="center"/>
          </w:tcPr>
          <w:p>
            <w:pPr>
              <w:widowControl/>
              <w:jc w:val="center"/>
              <w:rPr>
                <w:rFonts w:ascii="宋体" w:hAnsi="宋体" w:eastAsia="宋体" w:cs="宋体"/>
                <w:kern w:val="0"/>
                <w:sz w:val="22"/>
              </w:rPr>
            </w:pPr>
            <w:r>
              <w:rPr>
                <w:rFonts w:hint="eastAsia"/>
                <w:color w:val="000000"/>
                <w:sz w:val="22"/>
              </w:rPr>
              <w:t>明装底盒86mm*86mm</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color w:val="000000"/>
                <w:sz w:val="22"/>
              </w:rPr>
              <w:t>18</w:t>
            </w:r>
          </w:p>
        </w:tc>
        <w:tc>
          <w:tcPr>
            <w:tcW w:w="769" w:type="dxa"/>
            <w:noWrap/>
            <w:vAlign w:val="center"/>
          </w:tcPr>
          <w:p>
            <w:pPr>
              <w:widowControl/>
              <w:jc w:val="center"/>
              <w:rPr>
                <w:rFonts w:ascii="宋体" w:hAnsi="宋体" w:eastAsia="宋体" w:cs="宋体"/>
                <w:kern w:val="0"/>
                <w:sz w:val="22"/>
              </w:rPr>
            </w:pPr>
            <w:r>
              <w:rPr>
                <w:rFonts w:hint="eastAsia"/>
                <w:color w:val="000000"/>
                <w:sz w:val="22"/>
              </w:rPr>
              <w:t>个</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0</w:t>
            </w:r>
          </w:p>
        </w:tc>
        <w:tc>
          <w:tcPr>
            <w:tcW w:w="2552" w:type="dxa"/>
            <w:noWrap/>
            <w:vAlign w:val="center"/>
          </w:tcPr>
          <w:p>
            <w:pPr>
              <w:widowControl/>
              <w:jc w:val="center"/>
              <w:rPr>
                <w:rFonts w:hint="eastAsia"/>
                <w:color w:val="000000"/>
                <w:sz w:val="22"/>
              </w:rPr>
            </w:pPr>
            <w:r>
              <w:rPr>
                <w:rFonts w:hint="eastAsia"/>
                <w:color w:val="000000"/>
                <w:sz w:val="22"/>
              </w:rPr>
              <w:t>P</w:t>
            </w:r>
            <w:r>
              <w:rPr>
                <w:color w:val="000000"/>
                <w:sz w:val="22"/>
              </w:rPr>
              <w:t>VC</w:t>
            </w:r>
            <w:r>
              <w:rPr>
                <w:rFonts w:hint="eastAsia"/>
                <w:color w:val="000000"/>
                <w:sz w:val="22"/>
              </w:rPr>
              <w:t>线管</w:t>
            </w:r>
            <w:r>
              <w:rPr>
                <w:rFonts w:ascii="Calibri" w:hAnsi="Calibri" w:cs="Calibri"/>
                <w:color w:val="000000"/>
                <w:sz w:val="22"/>
              </w:rPr>
              <w:t>Φ</w:t>
            </w:r>
            <w:r>
              <w:rPr>
                <w:rFonts w:hint="eastAsia"/>
                <w:color w:val="000000"/>
                <w:sz w:val="22"/>
              </w:rPr>
              <w:t>2</w:t>
            </w:r>
            <w:r>
              <w:rPr>
                <w:color w:val="000000"/>
                <w:sz w:val="22"/>
              </w:rPr>
              <w:t>0</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color w:val="000000"/>
                <w:sz w:val="22"/>
              </w:rPr>
            </w:pPr>
            <w:r>
              <w:rPr>
                <w:color w:val="000000"/>
                <w:sz w:val="22"/>
              </w:rPr>
              <w:t>500</w:t>
            </w:r>
          </w:p>
        </w:tc>
        <w:tc>
          <w:tcPr>
            <w:tcW w:w="769" w:type="dxa"/>
            <w:noWrap/>
            <w:vAlign w:val="center"/>
          </w:tcPr>
          <w:p>
            <w:pPr>
              <w:widowControl/>
              <w:jc w:val="center"/>
              <w:rPr>
                <w:rFonts w:hint="eastAsia"/>
                <w:color w:val="000000"/>
                <w:sz w:val="22"/>
              </w:rPr>
            </w:pPr>
            <w:r>
              <w:rPr>
                <w:rFonts w:hint="eastAsia"/>
                <w:color w:val="000000"/>
                <w:sz w:val="22"/>
              </w:rPr>
              <w:t>米</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ascii="宋体" w:hAnsi="宋体" w:eastAsia="宋体" w:cs="宋体"/>
                <w:kern w:val="0"/>
                <w:sz w:val="22"/>
              </w:rPr>
              <w:t>11</w:t>
            </w:r>
          </w:p>
        </w:tc>
        <w:tc>
          <w:tcPr>
            <w:tcW w:w="2552" w:type="dxa"/>
            <w:noWrap/>
            <w:vAlign w:val="center"/>
          </w:tcPr>
          <w:p>
            <w:pPr>
              <w:widowControl/>
              <w:jc w:val="center"/>
              <w:rPr>
                <w:rFonts w:ascii="宋体" w:hAnsi="宋体" w:eastAsia="宋体" w:cs="宋体"/>
                <w:kern w:val="0"/>
                <w:sz w:val="22"/>
              </w:rPr>
            </w:pPr>
            <w:r>
              <w:rPr>
                <w:rFonts w:hint="eastAsia" w:ascii="Calibri" w:hAnsi="Calibri" w:cs="Calibri"/>
                <w:color w:val="000000"/>
                <w:sz w:val="22"/>
              </w:rPr>
              <w:t>PVC线槽</w:t>
            </w:r>
            <w:r>
              <w:rPr>
                <w:rFonts w:ascii="Calibri" w:hAnsi="Calibri" w:cs="Calibri"/>
                <w:color w:val="000000"/>
                <w:sz w:val="22"/>
              </w:rPr>
              <w:t>Φ</w:t>
            </w:r>
            <w:r>
              <w:rPr>
                <w:rFonts w:hint="eastAsia"/>
                <w:color w:val="000000"/>
                <w:sz w:val="22"/>
              </w:rPr>
              <w:t>25</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color w:val="000000"/>
                <w:sz w:val="22"/>
              </w:rPr>
              <w:t>100</w:t>
            </w:r>
          </w:p>
        </w:tc>
        <w:tc>
          <w:tcPr>
            <w:tcW w:w="769" w:type="dxa"/>
            <w:noWrap/>
            <w:vAlign w:val="center"/>
          </w:tcPr>
          <w:p>
            <w:pPr>
              <w:widowControl/>
              <w:jc w:val="center"/>
              <w:rPr>
                <w:rFonts w:ascii="宋体" w:hAnsi="宋体" w:eastAsia="宋体" w:cs="宋体"/>
                <w:kern w:val="0"/>
                <w:sz w:val="22"/>
              </w:rPr>
            </w:pPr>
            <w:r>
              <w:rPr>
                <w:rFonts w:hint="eastAsia"/>
                <w:color w:val="000000"/>
                <w:sz w:val="22"/>
              </w:rPr>
              <w:t>米</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ascii="宋体" w:hAnsi="宋体" w:eastAsia="宋体" w:cs="宋体"/>
                <w:kern w:val="0"/>
                <w:sz w:val="22"/>
              </w:rPr>
              <w:t>12</w:t>
            </w:r>
          </w:p>
        </w:tc>
        <w:tc>
          <w:tcPr>
            <w:tcW w:w="2552" w:type="dxa"/>
            <w:noWrap/>
            <w:vAlign w:val="center"/>
          </w:tcPr>
          <w:p>
            <w:pPr>
              <w:widowControl/>
              <w:jc w:val="center"/>
              <w:rPr>
                <w:rFonts w:ascii="宋体" w:hAnsi="宋体" w:eastAsia="宋体" w:cs="宋体"/>
                <w:kern w:val="0"/>
                <w:sz w:val="22"/>
              </w:rPr>
            </w:pPr>
            <w:r>
              <w:rPr>
                <w:rFonts w:hint="eastAsia"/>
                <w:color w:val="000000"/>
                <w:sz w:val="22"/>
              </w:rPr>
              <w:t>不锈钢线槽</w:t>
            </w:r>
            <w:r>
              <w:rPr>
                <w:rFonts w:ascii="Calibri" w:hAnsi="Calibri" w:cs="Calibri"/>
                <w:color w:val="000000"/>
                <w:sz w:val="22"/>
              </w:rPr>
              <w:t>Φ50</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r>
              <w:rPr>
                <w:rFonts w:ascii="宋体" w:hAnsi="宋体" w:eastAsia="宋体" w:cs="宋体"/>
                <w:kern w:val="0"/>
                <w:sz w:val="22"/>
              </w:rPr>
              <w:t>5</w:t>
            </w:r>
          </w:p>
        </w:tc>
        <w:tc>
          <w:tcPr>
            <w:tcW w:w="769" w:type="dxa"/>
            <w:noWrap/>
            <w:vAlign w:val="center"/>
          </w:tcPr>
          <w:p>
            <w:pPr>
              <w:widowControl/>
              <w:jc w:val="center"/>
              <w:rPr>
                <w:rFonts w:ascii="宋体" w:hAnsi="宋体" w:eastAsia="宋体" w:cs="宋体"/>
                <w:kern w:val="0"/>
                <w:sz w:val="22"/>
              </w:rPr>
            </w:pPr>
            <w:r>
              <w:rPr>
                <w:rFonts w:hint="eastAsia"/>
                <w:color w:val="000000"/>
                <w:sz w:val="22"/>
              </w:rPr>
              <w:t>米</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ascii="宋体" w:hAnsi="宋体" w:eastAsia="宋体" w:cs="宋体"/>
                <w:kern w:val="0"/>
                <w:sz w:val="22"/>
              </w:rPr>
              <w:t>13</w:t>
            </w:r>
          </w:p>
        </w:tc>
        <w:tc>
          <w:tcPr>
            <w:tcW w:w="2552" w:type="dxa"/>
            <w:noWrap/>
            <w:vAlign w:val="center"/>
          </w:tcPr>
          <w:p>
            <w:pPr>
              <w:widowControl/>
              <w:jc w:val="center"/>
              <w:rPr>
                <w:rFonts w:ascii="宋体" w:hAnsi="宋体" w:eastAsia="宋体" w:cs="宋体"/>
                <w:kern w:val="0"/>
                <w:sz w:val="22"/>
              </w:rPr>
            </w:pPr>
            <w:r>
              <w:rPr>
                <w:rFonts w:hint="default"/>
                <w:color w:val="000000"/>
                <w:sz w:val="22"/>
                <w:lang w:val="en-US"/>
              </w:rPr>
              <w:t>4</w:t>
            </w:r>
            <w:r>
              <w:rPr>
                <w:rFonts w:hint="eastAsia"/>
                <w:color w:val="000000"/>
                <w:sz w:val="22"/>
              </w:rPr>
              <w:t>芯</w:t>
            </w:r>
            <w:r>
              <w:rPr>
                <w:rFonts w:hint="eastAsia"/>
                <w:color w:val="000000"/>
                <w:sz w:val="22"/>
                <w:lang w:val="en-US" w:eastAsia="zh-CN"/>
              </w:rPr>
              <w:t>千</w:t>
            </w:r>
            <w:r>
              <w:rPr>
                <w:rFonts w:hint="eastAsia"/>
                <w:color w:val="000000"/>
                <w:sz w:val="22"/>
              </w:rPr>
              <w:t>兆室外铠装光纤</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color w:val="000000"/>
                <w:sz w:val="22"/>
              </w:rPr>
              <w:t>250</w:t>
            </w:r>
          </w:p>
        </w:tc>
        <w:tc>
          <w:tcPr>
            <w:tcW w:w="769" w:type="dxa"/>
            <w:noWrap/>
            <w:vAlign w:val="center"/>
          </w:tcPr>
          <w:p>
            <w:pPr>
              <w:widowControl/>
              <w:jc w:val="center"/>
              <w:rPr>
                <w:rFonts w:ascii="宋体" w:hAnsi="宋体" w:eastAsia="宋体" w:cs="宋体"/>
                <w:kern w:val="0"/>
                <w:sz w:val="22"/>
              </w:rPr>
            </w:pPr>
            <w:r>
              <w:rPr>
                <w:rFonts w:hint="eastAsia"/>
                <w:color w:val="000000"/>
                <w:sz w:val="22"/>
              </w:rPr>
              <w:t>米</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ascii="宋体" w:hAnsi="宋体" w:eastAsia="宋体" w:cs="宋体"/>
                <w:kern w:val="0"/>
                <w:sz w:val="22"/>
              </w:rPr>
              <w:t>14</w:t>
            </w:r>
          </w:p>
        </w:tc>
        <w:tc>
          <w:tcPr>
            <w:tcW w:w="2552" w:type="dxa"/>
            <w:noWrap/>
            <w:vAlign w:val="center"/>
          </w:tcPr>
          <w:p>
            <w:pPr>
              <w:widowControl/>
              <w:jc w:val="center"/>
              <w:rPr>
                <w:rFonts w:hint="eastAsia" w:ascii="宋体" w:hAnsi="宋体" w:eastAsia="宋体" w:cs="宋体"/>
                <w:kern w:val="0"/>
                <w:sz w:val="22"/>
              </w:rPr>
            </w:pPr>
            <w:r>
              <w:rPr>
                <w:rFonts w:hint="default"/>
                <w:color w:val="000000"/>
                <w:sz w:val="22"/>
                <w:lang w:val="en-US"/>
              </w:rPr>
              <w:t>4</w:t>
            </w:r>
            <w:r>
              <w:rPr>
                <w:rFonts w:hint="eastAsia"/>
                <w:color w:val="000000"/>
                <w:sz w:val="22"/>
              </w:rPr>
              <w:t>芯光纤终端盒</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rFonts w:hint="eastAsia"/>
                <w:color w:val="000000"/>
                <w:sz w:val="22"/>
              </w:rPr>
              <w:t>2</w:t>
            </w:r>
          </w:p>
        </w:tc>
        <w:tc>
          <w:tcPr>
            <w:tcW w:w="769" w:type="dxa"/>
            <w:noWrap/>
            <w:vAlign w:val="center"/>
          </w:tcPr>
          <w:p>
            <w:pPr>
              <w:widowControl/>
              <w:jc w:val="center"/>
              <w:rPr>
                <w:rFonts w:ascii="宋体" w:hAnsi="宋体" w:eastAsia="宋体" w:cs="宋体"/>
                <w:kern w:val="0"/>
                <w:sz w:val="22"/>
              </w:rPr>
            </w:pPr>
            <w:r>
              <w:rPr>
                <w:rFonts w:hint="eastAsia"/>
                <w:color w:val="000000"/>
                <w:sz w:val="22"/>
              </w:rPr>
              <w:t>个</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ascii="宋体" w:hAnsi="宋体" w:eastAsia="宋体" w:cs="宋体"/>
                <w:kern w:val="0"/>
                <w:sz w:val="22"/>
              </w:rPr>
              <w:t>15</w:t>
            </w:r>
          </w:p>
        </w:tc>
        <w:tc>
          <w:tcPr>
            <w:tcW w:w="2552" w:type="dxa"/>
            <w:noWrap/>
            <w:vAlign w:val="center"/>
          </w:tcPr>
          <w:p>
            <w:pPr>
              <w:widowControl/>
              <w:jc w:val="center"/>
              <w:rPr>
                <w:rFonts w:ascii="宋体" w:hAnsi="宋体" w:eastAsia="宋体" w:cs="宋体"/>
                <w:kern w:val="0"/>
                <w:sz w:val="22"/>
              </w:rPr>
            </w:pPr>
            <w:r>
              <w:rPr>
                <w:rFonts w:hint="eastAsia"/>
                <w:color w:val="000000"/>
                <w:sz w:val="22"/>
              </w:rPr>
              <w:t>1米LC单模尾纤</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color w:val="000000"/>
                <w:sz w:val="22"/>
              </w:rPr>
              <w:t>4</w:t>
            </w:r>
          </w:p>
        </w:tc>
        <w:tc>
          <w:tcPr>
            <w:tcW w:w="769" w:type="dxa"/>
            <w:noWrap/>
            <w:vAlign w:val="center"/>
          </w:tcPr>
          <w:p>
            <w:pPr>
              <w:widowControl/>
              <w:jc w:val="center"/>
              <w:rPr>
                <w:rFonts w:ascii="宋体" w:hAnsi="宋体" w:eastAsia="宋体" w:cs="宋体"/>
                <w:kern w:val="0"/>
                <w:sz w:val="22"/>
              </w:rPr>
            </w:pPr>
            <w:r>
              <w:rPr>
                <w:rFonts w:hint="eastAsia"/>
                <w:color w:val="000000"/>
                <w:sz w:val="22"/>
              </w:rPr>
              <w:t>根</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ascii="宋体" w:hAnsi="宋体" w:eastAsia="宋体" w:cs="宋体"/>
                <w:kern w:val="0"/>
                <w:sz w:val="22"/>
              </w:rPr>
              <w:t>16</w:t>
            </w:r>
          </w:p>
        </w:tc>
        <w:tc>
          <w:tcPr>
            <w:tcW w:w="2552" w:type="dxa"/>
            <w:noWrap/>
            <w:vAlign w:val="center"/>
          </w:tcPr>
          <w:p>
            <w:pPr>
              <w:widowControl/>
              <w:jc w:val="center"/>
              <w:rPr>
                <w:rFonts w:ascii="宋体" w:hAnsi="宋体" w:eastAsia="宋体" w:cs="宋体"/>
                <w:kern w:val="0"/>
                <w:sz w:val="22"/>
              </w:rPr>
            </w:pPr>
            <w:r>
              <w:rPr>
                <w:rFonts w:hint="eastAsia"/>
                <w:color w:val="000000"/>
                <w:sz w:val="22"/>
              </w:rPr>
              <w:t>光纤熔接费</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rFonts w:hint="eastAsia"/>
                <w:color w:val="000000"/>
                <w:sz w:val="22"/>
              </w:rPr>
              <w:t>4</w:t>
            </w:r>
          </w:p>
        </w:tc>
        <w:tc>
          <w:tcPr>
            <w:tcW w:w="769" w:type="dxa"/>
            <w:noWrap/>
            <w:vAlign w:val="center"/>
          </w:tcPr>
          <w:p>
            <w:pPr>
              <w:widowControl/>
              <w:jc w:val="center"/>
              <w:rPr>
                <w:rFonts w:ascii="宋体" w:hAnsi="宋体" w:eastAsia="宋体" w:cs="宋体"/>
                <w:kern w:val="0"/>
                <w:sz w:val="22"/>
              </w:rPr>
            </w:pPr>
            <w:r>
              <w:rPr>
                <w:rFonts w:hint="eastAsia"/>
                <w:color w:val="000000"/>
                <w:sz w:val="22"/>
              </w:rPr>
              <w:t>芯</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ascii="宋体" w:hAnsi="宋体" w:eastAsia="宋体" w:cs="宋体"/>
                <w:kern w:val="0"/>
                <w:sz w:val="22"/>
              </w:rPr>
              <w:t>17</w:t>
            </w:r>
          </w:p>
        </w:tc>
        <w:tc>
          <w:tcPr>
            <w:tcW w:w="2552" w:type="dxa"/>
            <w:noWrap/>
            <w:vAlign w:val="center"/>
          </w:tcPr>
          <w:p>
            <w:pPr>
              <w:widowControl/>
              <w:jc w:val="center"/>
              <w:rPr>
                <w:rFonts w:ascii="宋体" w:hAnsi="宋体" w:eastAsia="宋体" w:cs="宋体"/>
                <w:kern w:val="0"/>
                <w:sz w:val="22"/>
              </w:rPr>
            </w:pPr>
            <w:r>
              <w:rPr>
                <w:rFonts w:hint="eastAsia"/>
                <w:color w:val="000000"/>
                <w:sz w:val="22"/>
              </w:rPr>
              <w:t>光纤施工费</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color w:val="000000"/>
                <w:sz w:val="22"/>
              </w:rPr>
              <w:t>250</w:t>
            </w:r>
          </w:p>
        </w:tc>
        <w:tc>
          <w:tcPr>
            <w:tcW w:w="769" w:type="dxa"/>
            <w:noWrap/>
            <w:vAlign w:val="center"/>
          </w:tcPr>
          <w:p>
            <w:pPr>
              <w:widowControl/>
              <w:jc w:val="center"/>
              <w:rPr>
                <w:rFonts w:ascii="宋体" w:hAnsi="宋体" w:eastAsia="宋体" w:cs="宋体"/>
                <w:kern w:val="0"/>
                <w:sz w:val="22"/>
              </w:rPr>
            </w:pPr>
            <w:r>
              <w:rPr>
                <w:rFonts w:hint="eastAsia"/>
                <w:color w:val="000000"/>
                <w:sz w:val="22"/>
              </w:rPr>
              <w:t>米</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ascii="宋体" w:hAnsi="宋体" w:eastAsia="宋体" w:cs="宋体"/>
                <w:kern w:val="0"/>
                <w:sz w:val="22"/>
              </w:rPr>
              <w:t>18</w:t>
            </w:r>
          </w:p>
        </w:tc>
        <w:tc>
          <w:tcPr>
            <w:tcW w:w="2552" w:type="dxa"/>
            <w:noWrap/>
            <w:vAlign w:val="center"/>
          </w:tcPr>
          <w:p>
            <w:pPr>
              <w:widowControl/>
              <w:jc w:val="center"/>
              <w:rPr>
                <w:rFonts w:ascii="宋体" w:hAnsi="宋体" w:eastAsia="宋体" w:cs="宋体"/>
                <w:kern w:val="0"/>
                <w:sz w:val="22"/>
              </w:rPr>
            </w:pPr>
            <w:r>
              <w:rPr>
                <w:rFonts w:hint="eastAsia"/>
                <w:color w:val="000000"/>
                <w:szCs w:val="21"/>
              </w:rPr>
              <w:t>电话线</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00</w:t>
            </w:r>
          </w:p>
        </w:tc>
        <w:tc>
          <w:tcPr>
            <w:tcW w:w="769" w:type="dxa"/>
            <w:noWrap/>
            <w:vAlign w:val="center"/>
          </w:tcPr>
          <w:p>
            <w:pPr>
              <w:widowControl/>
              <w:jc w:val="center"/>
              <w:rPr>
                <w:rFonts w:ascii="宋体" w:hAnsi="宋体" w:eastAsia="宋体" w:cs="宋体"/>
                <w:kern w:val="0"/>
                <w:sz w:val="22"/>
              </w:rPr>
            </w:pPr>
            <w:r>
              <w:rPr>
                <w:rFonts w:hint="eastAsia"/>
                <w:color w:val="000000"/>
                <w:szCs w:val="21"/>
              </w:rPr>
              <w:t>米</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ascii="宋体" w:hAnsi="宋体" w:eastAsia="宋体" w:cs="宋体"/>
                <w:kern w:val="0"/>
                <w:sz w:val="22"/>
              </w:rPr>
              <w:t>19</w:t>
            </w:r>
          </w:p>
        </w:tc>
        <w:tc>
          <w:tcPr>
            <w:tcW w:w="2552" w:type="dxa"/>
            <w:noWrap/>
            <w:vAlign w:val="center"/>
          </w:tcPr>
          <w:p>
            <w:pPr>
              <w:widowControl/>
              <w:jc w:val="center"/>
              <w:rPr>
                <w:rFonts w:ascii="宋体" w:hAnsi="宋体" w:eastAsia="宋体" w:cs="宋体"/>
                <w:kern w:val="0"/>
                <w:sz w:val="22"/>
              </w:rPr>
            </w:pPr>
            <w:r>
              <w:rPr>
                <w:rFonts w:hint="eastAsia"/>
                <w:color w:val="000000"/>
                <w:szCs w:val="21"/>
              </w:rPr>
              <w:t>电话模块</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color w:val="000000"/>
                <w:szCs w:val="21"/>
              </w:rPr>
              <w:t>3</w:t>
            </w:r>
          </w:p>
        </w:tc>
        <w:tc>
          <w:tcPr>
            <w:tcW w:w="769" w:type="dxa"/>
            <w:noWrap/>
            <w:vAlign w:val="center"/>
          </w:tcPr>
          <w:p>
            <w:pPr>
              <w:widowControl/>
              <w:jc w:val="center"/>
              <w:rPr>
                <w:rFonts w:ascii="宋体" w:hAnsi="宋体" w:eastAsia="宋体" w:cs="宋体"/>
                <w:kern w:val="0"/>
                <w:sz w:val="22"/>
              </w:rPr>
            </w:pPr>
            <w:r>
              <w:rPr>
                <w:rFonts w:hint="eastAsia"/>
                <w:color w:val="000000"/>
                <w:szCs w:val="21"/>
              </w:rPr>
              <w:t>个</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ascii="宋体" w:hAnsi="宋体" w:eastAsia="宋体" w:cs="宋体"/>
                <w:kern w:val="0"/>
                <w:sz w:val="22"/>
              </w:rPr>
            </w:pPr>
            <w:r>
              <w:rPr>
                <w:rFonts w:ascii="宋体" w:hAnsi="宋体" w:eastAsia="宋体" w:cs="宋体"/>
                <w:kern w:val="0"/>
                <w:sz w:val="22"/>
              </w:rPr>
              <w:t>20</w:t>
            </w:r>
          </w:p>
        </w:tc>
        <w:tc>
          <w:tcPr>
            <w:tcW w:w="2552" w:type="dxa"/>
            <w:noWrap/>
            <w:vAlign w:val="center"/>
          </w:tcPr>
          <w:p>
            <w:pPr>
              <w:widowControl/>
              <w:jc w:val="center"/>
              <w:rPr>
                <w:rFonts w:ascii="宋体" w:hAnsi="宋体" w:eastAsia="宋体" w:cs="宋体"/>
                <w:kern w:val="0"/>
                <w:sz w:val="22"/>
              </w:rPr>
            </w:pPr>
            <w:r>
              <w:rPr>
                <w:rFonts w:hint="eastAsia"/>
                <w:color w:val="000000"/>
                <w:szCs w:val="21"/>
              </w:rPr>
              <w:t>电话面板</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ascii="宋体" w:hAnsi="宋体" w:eastAsia="宋体" w:cs="宋体"/>
                <w:kern w:val="0"/>
                <w:sz w:val="22"/>
              </w:rPr>
            </w:pPr>
            <w:r>
              <w:rPr>
                <w:color w:val="000000"/>
                <w:szCs w:val="21"/>
              </w:rPr>
              <w:t>3</w:t>
            </w:r>
          </w:p>
        </w:tc>
        <w:tc>
          <w:tcPr>
            <w:tcW w:w="769" w:type="dxa"/>
            <w:noWrap/>
            <w:vAlign w:val="center"/>
          </w:tcPr>
          <w:p>
            <w:pPr>
              <w:widowControl/>
              <w:jc w:val="center"/>
              <w:rPr>
                <w:rFonts w:ascii="宋体" w:hAnsi="宋体" w:eastAsia="宋体" w:cs="宋体"/>
                <w:kern w:val="0"/>
                <w:sz w:val="22"/>
              </w:rPr>
            </w:pPr>
            <w:r>
              <w:rPr>
                <w:rFonts w:hint="eastAsia"/>
                <w:color w:val="000000"/>
                <w:szCs w:val="21"/>
              </w:rPr>
              <w:t>个</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1</w:t>
            </w:r>
          </w:p>
        </w:tc>
        <w:tc>
          <w:tcPr>
            <w:tcW w:w="2552" w:type="dxa"/>
            <w:noWrap/>
            <w:vAlign w:val="center"/>
          </w:tcPr>
          <w:p>
            <w:pPr>
              <w:widowControl/>
              <w:jc w:val="center"/>
              <w:rPr>
                <w:rFonts w:hint="eastAsia"/>
                <w:color w:val="000000"/>
                <w:szCs w:val="21"/>
              </w:rPr>
            </w:pPr>
            <w:r>
              <w:rPr>
                <w:rFonts w:hint="eastAsia"/>
                <w:color w:val="000000"/>
                <w:szCs w:val="21"/>
              </w:rPr>
              <w:t>高空作业，打孔</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hint="eastAsia"/>
                <w:color w:val="000000"/>
                <w:szCs w:val="21"/>
              </w:rPr>
            </w:pPr>
            <w:r>
              <w:rPr>
                <w:rFonts w:hint="eastAsia"/>
                <w:color w:val="000000"/>
                <w:szCs w:val="21"/>
              </w:rPr>
              <w:t>1</w:t>
            </w:r>
          </w:p>
        </w:tc>
        <w:tc>
          <w:tcPr>
            <w:tcW w:w="769" w:type="dxa"/>
            <w:noWrap/>
            <w:vAlign w:val="center"/>
          </w:tcPr>
          <w:p>
            <w:pPr>
              <w:widowControl/>
              <w:jc w:val="center"/>
              <w:rPr>
                <w:rFonts w:hint="eastAsia"/>
                <w:color w:val="000000"/>
                <w:szCs w:val="21"/>
              </w:rPr>
            </w:pPr>
            <w:r>
              <w:rPr>
                <w:rFonts w:hint="eastAsia"/>
                <w:color w:val="000000"/>
                <w:szCs w:val="21"/>
              </w:rPr>
              <w:t>项</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22</w:t>
            </w:r>
          </w:p>
        </w:tc>
        <w:tc>
          <w:tcPr>
            <w:tcW w:w="2552" w:type="dxa"/>
            <w:noWrap/>
            <w:vAlign w:val="center"/>
          </w:tcPr>
          <w:p>
            <w:pPr>
              <w:widowControl/>
              <w:jc w:val="center"/>
              <w:rPr>
                <w:rFonts w:hint="eastAsia"/>
                <w:color w:val="000000"/>
                <w:szCs w:val="21"/>
              </w:rPr>
            </w:pPr>
            <w:r>
              <w:rPr>
                <w:rFonts w:hint="eastAsia"/>
                <w:color w:val="000000"/>
                <w:sz w:val="22"/>
              </w:rPr>
              <w:t>信息点、电话点位布线施工、机柜安装等</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hint="eastAsia"/>
                <w:color w:val="000000"/>
                <w:szCs w:val="21"/>
              </w:rPr>
            </w:pPr>
            <w:r>
              <w:rPr>
                <w:rFonts w:hint="eastAsia"/>
                <w:color w:val="000000"/>
                <w:sz w:val="22"/>
              </w:rPr>
              <w:t>1</w:t>
            </w:r>
          </w:p>
        </w:tc>
        <w:tc>
          <w:tcPr>
            <w:tcW w:w="769" w:type="dxa"/>
            <w:noWrap/>
            <w:vAlign w:val="center"/>
          </w:tcPr>
          <w:p>
            <w:pPr>
              <w:widowControl/>
              <w:jc w:val="center"/>
              <w:rPr>
                <w:rFonts w:hint="eastAsia"/>
                <w:color w:val="000000"/>
                <w:szCs w:val="21"/>
              </w:rPr>
            </w:pPr>
            <w:r>
              <w:rPr>
                <w:rFonts w:hint="eastAsia"/>
                <w:color w:val="000000"/>
                <w:sz w:val="22"/>
              </w:rPr>
              <w:t>项</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23</w:t>
            </w:r>
          </w:p>
        </w:tc>
        <w:tc>
          <w:tcPr>
            <w:tcW w:w="2552" w:type="dxa"/>
            <w:noWrap/>
            <w:vAlign w:val="center"/>
          </w:tcPr>
          <w:p>
            <w:pPr>
              <w:widowControl/>
              <w:jc w:val="center"/>
              <w:rPr>
                <w:rFonts w:hint="eastAsia"/>
                <w:color w:val="000000"/>
                <w:szCs w:val="21"/>
              </w:rPr>
            </w:pPr>
            <w:r>
              <w:rPr>
                <w:rFonts w:hint="eastAsia"/>
                <w:color w:val="000000"/>
                <w:sz w:val="22"/>
              </w:rPr>
              <w:t>网络设备调试费</w:t>
            </w:r>
          </w:p>
        </w:tc>
        <w:tc>
          <w:tcPr>
            <w:tcW w:w="1276" w:type="dxa"/>
            <w:noWrap/>
            <w:vAlign w:val="center"/>
          </w:tcPr>
          <w:p>
            <w:pPr>
              <w:widowControl/>
              <w:jc w:val="center"/>
              <w:rPr>
                <w:rFonts w:ascii="宋体" w:hAnsi="宋体" w:eastAsia="宋体" w:cs="宋体"/>
                <w:kern w:val="0"/>
                <w:sz w:val="22"/>
              </w:rPr>
            </w:pPr>
          </w:p>
        </w:tc>
        <w:tc>
          <w:tcPr>
            <w:tcW w:w="968" w:type="dxa"/>
            <w:noWrap/>
            <w:vAlign w:val="center"/>
          </w:tcPr>
          <w:p>
            <w:pPr>
              <w:widowControl/>
              <w:jc w:val="center"/>
              <w:rPr>
                <w:rFonts w:hint="eastAsia"/>
                <w:color w:val="000000"/>
                <w:szCs w:val="21"/>
              </w:rPr>
            </w:pPr>
            <w:r>
              <w:rPr>
                <w:rFonts w:hint="eastAsia"/>
                <w:color w:val="000000"/>
                <w:sz w:val="22"/>
              </w:rPr>
              <w:t>1</w:t>
            </w:r>
          </w:p>
        </w:tc>
        <w:tc>
          <w:tcPr>
            <w:tcW w:w="769" w:type="dxa"/>
            <w:noWrap/>
            <w:vAlign w:val="center"/>
          </w:tcPr>
          <w:p>
            <w:pPr>
              <w:widowControl/>
              <w:jc w:val="center"/>
              <w:rPr>
                <w:rFonts w:hint="eastAsia"/>
                <w:color w:val="000000"/>
                <w:szCs w:val="21"/>
              </w:rPr>
            </w:pPr>
            <w:r>
              <w:rPr>
                <w:rFonts w:hint="eastAsia"/>
                <w:color w:val="000000"/>
                <w:sz w:val="22"/>
              </w:rPr>
              <w:t>项</w:t>
            </w:r>
          </w:p>
        </w:tc>
        <w:tc>
          <w:tcPr>
            <w:tcW w:w="726" w:type="dxa"/>
            <w:noWrap/>
            <w:vAlign w:val="center"/>
          </w:tcPr>
          <w:p>
            <w:pPr>
              <w:widowControl/>
              <w:jc w:val="center"/>
              <w:rPr>
                <w:rFonts w:ascii="宋体" w:hAnsi="宋体" w:eastAsia="宋体" w:cs="宋体"/>
                <w:kern w:val="0"/>
                <w:sz w:val="22"/>
              </w:rPr>
            </w:pPr>
          </w:p>
        </w:tc>
        <w:tc>
          <w:tcPr>
            <w:tcW w:w="850" w:type="dxa"/>
            <w:noWrap/>
            <w:vAlign w:val="center"/>
          </w:tcPr>
          <w:p>
            <w:pPr>
              <w:widowControl/>
              <w:jc w:val="center"/>
              <w:rPr>
                <w:rFonts w:ascii="宋体" w:hAnsi="宋体" w:eastAsia="宋体" w:cs="宋体"/>
                <w:kern w:val="0"/>
                <w:sz w:val="22"/>
              </w:rPr>
            </w:pPr>
          </w:p>
        </w:tc>
        <w:tc>
          <w:tcPr>
            <w:tcW w:w="709" w:type="dxa"/>
            <w:vAlign w:val="center"/>
          </w:tcPr>
          <w:p>
            <w:pPr>
              <w:widowControl/>
              <w:jc w:val="left"/>
              <w:rPr>
                <w:rFonts w:ascii="宋体" w:hAnsi="宋体" w:eastAsia="宋体" w:cs="宋体"/>
                <w:kern w:val="0"/>
                <w:sz w:val="22"/>
              </w:rPr>
            </w:pPr>
          </w:p>
        </w:tc>
      </w:tr>
    </w:tbl>
    <w:p>
      <w:pPr>
        <w:widowControl/>
        <w:jc w:val="left"/>
        <w:rPr>
          <w:rFonts w:ascii="宋体" w:hAnsi="宋体" w:eastAsia="宋体" w:cs="宋体"/>
          <w:b/>
          <w:bCs/>
          <w:kern w:val="0"/>
          <w:sz w:val="22"/>
        </w:rPr>
      </w:pPr>
      <w:r>
        <w:rPr>
          <w:rFonts w:hint="eastAsia" w:ascii="宋体" w:hAnsi="宋体" w:eastAsia="宋体" w:cs="宋体"/>
          <w:b/>
          <w:bCs/>
          <w:kern w:val="0"/>
          <w:sz w:val="22"/>
        </w:rPr>
        <w:t>要求：施工单位资质要求：需包含计算机网络工程安装、系统集成等资质。</w:t>
      </w:r>
    </w:p>
    <w:p>
      <w:pPr>
        <w:adjustRightInd w:val="0"/>
        <w:snapToGrid w:val="0"/>
        <w:jc w:val="both"/>
        <w:rPr>
          <w:rFonts w:hint="eastAsia"/>
          <w:b/>
          <w:sz w:val="30"/>
          <w:szCs w:val="30"/>
        </w:rPr>
      </w:pPr>
    </w:p>
    <w:p>
      <w:pPr>
        <w:adjustRightInd w:val="0"/>
        <w:snapToGrid w:val="0"/>
        <w:jc w:val="center"/>
        <w:rPr>
          <w:rFonts w:hint="eastAsia"/>
          <w:b/>
          <w:sz w:val="30"/>
          <w:szCs w:val="30"/>
        </w:rPr>
      </w:pPr>
    </w:p>
    <w:p>
      <w:pPr>
        <w:pStyle w:val="41"/>
        <w:ind w:firstLine="482" w:firstLineChars="200"/>
        <w:rPr>
          <w:rFonts w:asciiTheme="minorEastAsia" w:hAnsiTheme="minorEastAsia"/>
          <w:b/>
          <w:bCs/>
          <w:sz w:val="24"/>
          <w:szCs w:val="24"/>
        </w:rPr>
      </w:pPr>
      <w:r>
        <w:rPr>
          <w:rFonts w:hint="eastAsia" w:asciiTheme="minorEastAsia" w:hAnsiTheme="minorEastAsia" w:cstheme="minorEastAsia"/>
          <w:b/>
          <w:bCs/>
          <w:sz w:val="24"/>
          <w:szCs w:val="24"/>
          <w:highlight w:val="none"/>
          <w:lang w:val="en-US" w:eastAsia="zh-CN"/>
        </w:rPr>
        <w:t>2、</w:t>
      </w:r>
      <w:r>
        <w:rPr>
          <w:rFonts w:asciiTheme="minorEastAsia" w:hAnsiTheme="minorEastAsia"/>
          <w:b/>
          <w:bCs/>
          <w:sz w:val="24"/>
          <w:szCs w:val="24"/>
        </w:rPr>
        <w:t>供应商资质要求：</w:t>
      </w:r>
    </w:p>
    <w:p>
      <w:pPr>
        <w:spacing w:line="360" w:lineRule="auto"/>
        <w:ind w:left="480" w:hanging="480" w:hangingChars="200"/>
        <w:rPr>
          <w:rFonts w:asciiTheme="minorEastAsia" w:hAnsiTheme="minorEastAsia"/>
          <w:sz w:val="24"/>
          <w:szCs w:val="24"/>
        </w:rPr>
      </w:pPr>
      <w:r>
        <w:rPr>
          <w:rFonts w:hint="eastAsia" w:asciiTheme="minorEastAsia" w:hAnsiTheme="minorEastAsia"/>
          <w:sz w:val="24"/>
          <w:szCs w:val="24"/>
          <w:lang w:val="en-US" w:eastAsia="zh-CN"/>
        </w:rPr>
        <w:t>2.1.1</w:t>
      </w:r>
      <w:r>
        <w:rPr>
          <w:rFonts w:hint="eastAsia" w:asciiTheme="minorEastAsia" w:hAnsiTheme="minorEastAsia"/>
          <w:sz w:val="24"/>
          <w:szCs w:val="24"/>
        </w:rPr>
        <w:t xml:space="preserve"> </w:t>
      </w:r>
      <w:r>
        <w:rPr>
          <w:rFonts w:asciiTheme="minorEastAsia" w:hAnsiTheme="minorEastAsia"/>
          <w:sz w:val="24"/>
          <w:szCs w:val="24"/>
        </w:rPr>
        <w:t>供应商应是注册于中华人民共和国的独立企业法人，满足采购文件要求资格的企业</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2.1.2 </w:t>
      </w:r>
      <w:r>
        <w:rPr>
          <w:rFonts w:asciiTheme="minorEastAsia" w:hAnsiTheme="minorEastAsia"/>
          <w:sz w:val="24"/>
          <w:szCs w:val="24"/>
        </w:rPr>
        <w:t>符合政府采购法第二十二条规定的供应商资格条件</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①具有独立承担民事责任的能力；</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②具有良好的</w:t>
      </w:r>
      <w:r>
        <w:rPr>
          <w:rFonts w:hint="eastAsia" w:asciiTheme="minorEastAsia" w:hAnsiTheme="minorEastAsia"/>
          <w:sz w:val="24"/>
          <w:szCs w:val="24"/>
          <w:lang w:val="en-US" w:eastAsia="zh-CN"/>
        </w:rPr>
        <w:t>服务</w:t>
      </w:r>
      <w:r>
        <w:rPr>
          <w:rFonts w:asciiTheme="minorEastAsia" w:hAnsiTheme="minorEastAsia"/>
          <w:sz w:val="24"/>
          <w:szCs w:val="24"/>
        </w:rPr>
        <w:t>信誉和健全的财务会计制度；</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③具有履行合同所必需的设备和专业技术能力；</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④</w:t>
      </w:r>
      <w:r>
        <w:rPr>
          <w:rFonts w:hint="eastAsia" w:asciiTheme="minorEastAsia" w:hAnsiTheme="minorEastAsia"/>
          <w:sz w:val="24"/>
          <w:szCs w:val="24"/>
          <w:lang w:val="en-US" w:eastAsia="zh-CN"/>
        </w:rPr>
        <w:t>具</w:t>
      </w:r>
      <w:r>
        <w:rPr>
          <w:rFonts w:asciiTheme="minorEastAsia" w:hAnsiTheme="minorEastAsia"/>
          <w:sz w:val="24"/>
          <w:szCs w:val="24"/>
        </w:rPr>
        <w:t>有依法缴纳税收和社会保障资金的良好记录；</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asciiTheme="minorEastAsia" w:hAnsiTheme="minorEastAsia"/>
          <w:sz w:val="24"/>
          <w:szCs w:val="24"/>
        </w:rPr>
        <w:t>⑤</w:t>
      </w:r>
      <w:r>
        <w:rPr>
          <w:rFonts w:hint="eastAsia" w:asciiTheme="minorEastAsia" w:hAnsiTheme="minorEastAsia" w:eastAsiaTheme="minorEastAsia" w:cstheme="minorEastAsia"/>
          <w:sz w:val="24"/>
          <w:szCs w:val="24"/>
          <w:highlight w:val="none"/>
        </w:rPr>
        <w:t>参加本次投标活动前三年内，</w:t>
      </w:r>
      <w:r>
        <w:rPr>
          <w:rFonts w:hint="eastAsia" w:asciiTheme="minorEastAsia" w:hAnsiTheme="minorEastAsia" w:eastAsiaTheme="minorEastAsia" w:cstheme="minorEastAsia"/>
          <w:spacing w:val="-9"/>
          <w:sz w:val="24"/>
          <w:szCs w:val="24"/>
          <w:highlight w:val="none"/>
        </w:rPr>
        <w:t>在服务活动中没有重大违法记录；</w:t>
      </w:r>
      <w:r>
        <w:rPr>
          <w:rFonts w:hint="eastAsia" w:asciiTheme="minorEastAsia" w:hAnsiTheme="minorEastAsia" w:eastAsiaTheme="minorEastAsia" w:cstheme="minorEastAsia"/>
          <w:sz w:val="24"/>
          <w:szCs w:val="24"/>
          <w:highlight w:val="none"/>
        </w:rPr>
        <w:t>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asciiTheme="minorEastAsia" w:hAnsiTheme="minorEastAsia"/>
          <w:sz w:val="24"/>
          <w:szCs w:val="24"/>
        </w:rPr>
        <w:t>⑥</w:t>
      </w:r>
      <w:r>
        <w:rPr>
          <w:rFonts w:hint="eastAsia" w:asciiTheme="minorEastAsia" w:hAnsiTheme="minorEastAsia" w:eastAsiaTheme="minorEastAsia" w:cstheme="minorEastAsia"/>
          <w:sz w:val="24"/>
          <w:szCs w:val="24"/>
          <w:highlight w:val="none"/>
        </w:rPr>
        <w:t>近三年内不存在违反招投标和政府采购相关法律法规的禁止行为</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20" w:lineRule="atLeast"/>
        <w:ind w:left="0" w:right="0" w:firstLine="241" w:firstLineChars="100"/>
        <w:textAlignment w:val="auto"/>
        <w:rPr>
          <w:rFonts w:hint="default"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2</w:t>
      </w:r>
      <w:r>
        <w:rPr>
          <w:rFonts w:hint="eastAsia" w:ascii="宋体" w:hAnsi="宋体" w:cs="宋体"/>
          <w:b/>
          <w:bCs/>
          <w:spacing w:val="0"/>
          <w:sz w:val="24"/>
          <w:szCs w:val="24"/>
          <w:highlight w:val="none"/>
          <w:lang w:val="en-US" w:eastAsia="zh-CN"/>
        </w:rPr>
        <w:t>、</w:t>
      </w:r>
      <w:r>
        <w:rPr>
          <w:rFonts w:hint="eastAsia" w:ascii="宋体" w:hAnsi="宋体" w:eastAsia="宋体" w:cs="宋体"/>
          <w:b/>
          <w:bCs/>
          <w:spacing w:val="0"/>
          <w:sz w:val="24"/>
          <w:szCs w:val="24"/>
          <w:highlight w:val="none"/>
          <w:lang w:val="en-US" w:eastAsia="zh-CN"/>
        </w:rPr>
        <w:t>投标文件要求：</w:t>
      </w:r>
    </w:p>
    <w:p>
      <w:pPr>
        <w:pStyle w:val="1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400" w:lineRule="atLeast"/>
        <w:ind w:left="1440" w:leftChars="0" w:right="0" w:hanging="1440" w:firstLineChars="0"/>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有效期内的营业执照正副本复印件</w:t>
      </w:r>
    </w:p>
    <w:p>
      <w:pPr>
        <w:pStyle w:val="1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400" w:lineRule="atLeast"/>
        <w:ind w:left="0" w:leftChars="0" w:right="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投标文件真实性的声明函；</w:t>
      </w:r>
    </w:p>
    <w:p>
      <w:pPr>
        <w:pStyle w:val="1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投标代表为法人代表的，需提供法人代表证明书原件和法人代表身份证复印件；</w:t>
      </w:r>
    </w:p>
    <w:p>
      <w:pPr>
        <w:pStyle w:val="1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投标代表非法人代表的，需提供“法定代表人授权书”原件及投标代表本人身份证</w:t>
      </w:r>
      <w:r>
        <w:rPr>
          <w:rFonts w:hint="eastAsia" w:asciiTheme="minorEastAsia" w:hAnsiTheme="minorEastAsia" w:cstheme="minorEastAsia"/>
          <w:spacing w:val="0"/>
          <w:sz w:val="24"/>
          <w:szCs w:val="24"/>
          <w:highlight w:val="none"/>
          <w:lang w:val="en-US" w:eastAsia="zh-CN"/>
        </w:rPr>
        <w:t>及复印件和法人身份证复印件；</w:t>
      </w:r>
    </w:p>
    <w:p>
      <w:pPr>
        <w:pStyle w:val="1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投标人符合规定条件的业绩；</w:t>
      </w:r>
    </w:p>
    <w:p>
      <w:pPr>
        <w:pStyle w:val="1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spacing w:val="0"/>
          <w:sz w:val="24"/>
          <w:szCs w:val="24"/>
          <w:highlight w:val="none"/>
          <w:lang w:val="en-US" w:eastAsia="zh-CN"/>
        </w:rPr>
        <w:t>报价单；</w:t>
      </w:r>
    </w:p>
    <w:p>
      <w:pPr>
        <w:rPr>
          <w:rFonts w:asciiTheme="minorEastAsia" w:hAnsiTheme="minorEastAsia"/>
          <w:sz w:val="24"/>
          <w:szCs w:val="24"/>
        </w:rPr>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Arial Unicode MS"/>
    <w:panose1 w:val="02000000000000000000"/>
    <w:charset w:val="00"/>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AAF14"/>
    <w:multiLevelType w:val="singleLevel"/>
    <w:tmpl w:val="BDBAAF14"/>
    <w:lvl w:ilvl="0" w:tentative="0">
      <w:start w:val="1"/>
      <w:numFmt w:val="decimal"/>
      <w:suff w:val="nothing"/>
      <w:lvlText w:val="（%1）"/>
      <w:lvlJc w:val="left"/>
      <w:pPr>
        <w:ind w:left="1440"/>
      </w:pPr>
    </w:lvl>
  </w:abstractNum>
  <w:abstractNum w:abstractNumId="1">
    <w:nsid w:val="5F29FB43"/>
    <w:multiLevelType w:val="multilevel"/>
    <w:tmpl w:val="5F29FB43"/>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6E230785"/>
    <w:multiLevelType w:val="multilevel"/>
    <w:tmpl w:val="6E230785"/>
    <w:lvl w:ilvl="0" w:tentative="0">
      <w:start w:val="1"/>
      <w:numFmt w:val="bullet"/>
      <w:pStyle w:val="30"/>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B1"/>
    <w:rsid w:val="00005ECF"/>
    <w:rsid w:val="00012023"/>
    <w:rsid w:val="000405AC"/>
    <w:rsid w:val="00044763"/>
    <w:rsid w:val="00047B21"/>
    <w:rsid w:val="000560E9"/>
    <w:rsid w:val="00057392"/>
    <w:rsid w:val="00077951"/>
    <w:rsid w:val="000A3087"/>
    <w:rsid w:val="000B4464"/>
    <w:rsid w:val="000C2E82"/>
    <w:rsid w:val="000D01DC"/>
    <w:rsid w:val="000D1384"/>
    <w:rsid w:val="000D3158"/>
    <w:rsid w:val="000D3EBB"/>
    <w:rsid w:val="000E6C73"/>
    <w:rsid w:val="000F486D"/>
    <w:rsid w:val="00100D30"/>
    <w:rsid w:val="00105CA5"/>
    <w:rsid w:val="00124E57"/>
    <w:rsid w:val="00125423"/>
    <w:rsid w:val="0012714D"/>
    <w:rsid w:val="00141A47"/>
    <w:rsid w:val="00163E41"/>
    <w:rsid w:val="00172FA7"/>
    <w:rsid w:val="00182483"/>
    <w:rsid w:val="00192276"/>
    <w:rsid w:val="00195AEE"/>
    <w:rsid w:val="001A7C1F"/>
    <w:rsid w:val="001B1E5A"/>
    <w:rsid w:val="001B2166"/>
    <w:rsid w:val="001C6C64"/>
    <w:rsid w:val="001D22E3"/>
    <w:rsid w:val="001D30C8"/>
    <w:rsid w:val="001D4125"/>
    <w:rsid w:val="00211F50"/>
    <w:rsid w:val="00215EB1"/>
    <w:rsid w:val="00226165"/>
    <w:rsid w:val="00241E44"/>
    <w:rsid w:val="0025327C"/>
    <w:rsid w:val="00257ECA"/>
    <w:rsid w:val="00262076"/>
    <w:rsid w:val="00262E91"/>
    <w:rsid w:val="00265555"/>
    <w:rsid w:val="00276FFB"/>
    <w:rsid w:val="0029220D"/>
    <w:rsid w:val="002A028F"/>
    <w:rsid w:val="002A2F22"/>
    <w:rsid w:val="002B3724"/>
    <w:rsid w:val="002B4D94"/>
    <w:rsid w:val="002C174D"/>
    <w:rsid w:val="002C347D"/>
    <w:rsid w:val="002C47E0"/>
    <w:rsid w:val="002E2553"/>
    <w:rsid w:val="0030283E"/>
    <w:rsid w:val="00305790"/>
    <w:rsid w:val="003064FF"/>
    <w:rsid w:val="00316E7F"/>
    <w:rsid w:val="00321A2A"/>
    <w:rsid w:val="00323B0A"/>
    <w:rsid w:val="00342205"/>
    <w:rsid w:val="00343C00"/>
    <w:rsid w:val="00343F0A"/>
    <w:rsid w:val="003475F0"/>
    <w:rsid w:val="00351C6E"/>
    <w:rsid w:val="003563CB"/>
    <w:rsid w:val="00386D7B"/>
    <w:rsid w:val="00391C08"/>
    <w:rsid w:val="003A0284"/>
    <w:rsid w:val="003A25FD"/>
    <w:rsid w:val="003A42B1"/>
    <w:rsid w:val="003A6F1C"/>
    <w:rsid w:val="003A738A"/>
    <w:rsid w:val="003B5E0C"/>
    <w:rsid w:val="003C7FD9"/>
    <w:rsid w:val="003D6B02"/>
    <w:rsid w:val="003E1C96"/>
    <w:rsid w:val="003E2417"/>
    <w:rsid w:val="0040427B"/>
    <w:rsid w:val="00407060"/>
    <w:rsid w:val="00411CDE"/>
    <w:rsid w:val="00412AF3"/>
    <w:rsid w:val="00430AAF"/>
    <w:rsid w:val="00443828"/>
    <w:rsid w:val="004452B1"/>
    <w:rsid w:val="00457032"/>
    <w:rsid w:val="004722E1"/>
    <w:rsid w:val="004A1EC6"/>
    <w:rsid w:val="004B371A"/>
    <w:rsid w:val="004B5E13"/>
    <w:rsid w:val="004C1E2A"/>
    <w:rsid w:val="004C4504"/>
    <w:rsid w:val="004E7141"/>
    <w:rsid w:val="004E774B"/>
    <w:rsid w:val="004F6B50"/>
    <w:rsid w:val="00513638"/>
    <w:rsid w:val="00524C60"/>
    <w:rsid w:val="00536D75"/>
    <w:rsid w:val="00542A3A"/>
    <w:rsid w:val="00554C6F"/>
    <w:rsid w:val="00564A81"/>
    <w:rsid w:val="00592BE3"/>
    <w:rsid w:val="00594E00"/>
    <w:rsid w:val="005B112D"/>
    <w:rsid w:val="005B6DE5"/>
    <w:rsid w:val="005C4C5D"/>
    <w:rsid w:val="005D481B"/>
    <w:rsid w:val="006078F4"/>
    <w:rsid w:val="00610FA9"/>
    <w:rsid w:val="00612A35"/>
    <w:rsid w:val="00615BFB"/>
    <w:rsid w:val="00626866"/>
    <w:rsid w:val="0063080F"/>
    <w:rsid w:val="00633F83"/>
    <w:rsid w:val="00637912"/>
    <w:rsid w:val="0064055B"/>
    <w:rsid w:val="00642113"/>
    <w:rsid w:val="00647AF9"/>
    <w:rsid w:val="00652BCA"/>
    <w:rsid w:val="00653EBB"/>
    <w:rsid w:val="00662545"/>
    <w:rsid w:val="00674A1B"/>
    <w:rsid w:val="00684A3B"/>
    <w:rsid w:val="006A108B"/>
    <w:rsid w:val="006A175F"/>
    <w:rsid w:val="006B0152"/>
    <w:rsid w:val="006C3C59"/>
    <w:rsid w:val="006D2FB2"/>
    <w:rsid w:val="006D7C85"/>
    <w:rsid w:val="006E0B3D"/>
    <w:rsid w:val="006E1182"/>
    <w:rsid w:val="006F7F06"/>
    <w:rsid w:val="00706699"/>
    <w:rsid w:val="00712304"/>
    <w:rsid w:val="00747E91"/>
    <w:rsid w:val="0075144C"/>
    <w:rsid w:val="00760B73"/>
    <w:rsid w:val="00762A2C"/>
    <w:rsid w:val="00764EA2"/>
    <w:rsid w:val="00766E86"/>
    <w:rsid w:val="00790F6B"/>
    <w:rsid w:val="00794EF8"/>
    <w:rsid w:val="007972B1"/>
    <w:rsid w:val="007A16F8"/>
    <w:rsid w:val="007A3D59"/>
    <w:rsid w:val="007B366A"/>
    <w:rsid w:val="007F6765"/>
    <w:rsid w:val="0085096F"/>
    <w:rsid w:val="008622ED"/>
    <w:rsid w:val="00864E41"/>
    <w:rsid w:val="00873B6D"/>
    <w:rsid w:val="008A59EC"/>
    <w:rsid w:val="008B7D7A"/>
    <w:rsid w:val="008B7FAD"/>
    <w:rsid w:val="008C0B4D"/>
    <w:rsid w:val="008E26F2"/>
    <w:rsid w:val="008F67AE"/>
    <w:rsid w:val="009113A1"/>
    <w:rsid w:val="00922C11"/>
    <w:rsid w:val="00932639"/>
    <w:rsid w:val="00954D61"/>
    <w:rsid w:val="009616E0"/>
    <w:rsid w:val="00965264"/>
    <w:rsid w:val="00965C71"/>
    <w:rsid w:val="00982F2C"/>
    <w:rsid w:val="009A03B2"/>
    <w:rsid w:val="009A194B"/>
    <w:rsid w:val="009B0BF6"/>
    <w:rsid w:val="009B5FAA"/>
    <w:rsid w:val="009B71A6"/>
    <w:rsid w:val="009C2E32"/>
    <w:rsid w:val="009C7372"/>
    <w:rsid w:val="009D454C"/>
    <w:rsid w:val="00A03F0B"/>
    <w:rsid w:val="00A17B48"/>
    <w:rsid w:val="00A20F42"/>
    <w:rsid w:val="00A23D56"/>
    <w:rsid w:val="00A319AB"/>
    <w:rsid w:val="00A53733"/>
    <w:rsid w:val="00A721FF"/>
    <w:rsid w:val="00A72D69"/>
    <w:rsid w:val="00A73BA4"/>
    <w:rsid w:val="00A74E85"/>
    <w:rsid w:val="00A839DD"/>
    <w:rsid w:val="00A84E01"/>
    <w:rsid w:val="00A94355"/>
    <w:rsid w:val="00A97CDC"/>
    <w:rsid w:val="00AC57D6"/>
    <w:rsid w:val="00AF3858"/>
    <w:rsid w:val="00B02D5C"/>
    <w:rsid w:val="00B17948"/>
    <w:rsid w:val="00B17D99"/>
    <w:rsid w:val="00B22808"/>
    <w:rsid w:val="00B43E34"/>
    <w:rsid w:val="00B54AB6"/>
    <w:rsid w:val="00B71EA7"/>
    <w:rsid w:val="00B747FF"/>
    <w:rsid w:val="00B82C44"/>
    <w:rsid w:val="00B82E83"/>
    <w:rsid w:val="00B85800"/>
    <w:rsid w:val="00B966D3"/>
    <w:rsid w:val="00BA1057"/>
    <w:rsid w:val="00BB1D30"/>
    <w:rsid w:val="00BD3CD9"/>
    <w:rsid w:val="00BD44D5"/>
    <w:rsid w:val="00BF545F"/>
    <w:rsid w:val="00C1048F"/>
    <w:rsid w:val="00C25A7D"/>
    <w:rsid w:val="00C30F50"/>
    <w:rsid w:val="00C426DF"/>
    <w:rsid w:val="00C4520C"/>
    <w:rsid w:val="00C554D4"/>
    <w:rsid w:val="00C66EFF"/>
    <w:rsid w:val="00C723AF"/>
    <w:rsid w:val="00C74C03"/>
    <w:rsid w:val="00CA4265"/>
    <w:rsid w:val="00CB12FB"/>
    <w:rsid w:val="00CD5843"/>
    <w:rsid w:val="00CF0CBC"/>
    <w:rsid w:val="00CF0D4F"/>
    <w:rsid w:val="00CF2A83"/>
    <w:rsid w:val="00D162A8"/>
    <w:rsid w:val="00D25316"/>
    <w:rsid w:val="00D36178"/>
    <w:rsid w:val="00D528E0"/>
    <w:rsid w:val="00D648EA"/>
    <w:rsid w:val="00D656DE"/>
    <w:rsid w:val="00D75382"/>
    <w:rsid w:val="00D810CD"/>
    <w:rsid w:val="00D90846"/>
    <w:rsid w:val="00D93BEA"/>
    <w:rsid w:val="00DC400A"/>
    <w:rsid w:val="00DD320C"/>
    <w:rsid w:val="00DD6B8B"/>
    <w:rsid w:val="00DF6AC5"/>
    <w:rsid w:val="00E33D05"/>
    <w:rsid w:val="00E416B0"/>
    <w:rsid w:val="00E521D5"/>
    <w:rsid w:val="00E61421"/>
    <w:rsid w:val="00E65584"/>
    <w:rsid w:val="00E838D0"/>
    <w:rsid w:val="00EA449E"/>
    <w:rsid w:val="00EE076E"/>
    <w:rsid w:val="00EE7CDD"/>
    <w:rsid w:val="00EF1BF0"/>
    <w:rsid w:val="00F11DAD"/>
    <w:rsid w:val="00F12E26"/>
    <w:rsid w:val="00F30343"/>
    <w:rsid w:val="00F44C00"/>
    <w:rsid w:val="00F44C96"/>
    <w:rsid w:val="00F45168"/>
    <w:rsid w:val="00F50023"/>
    <w:rsid w:val="00F73A79"/>
    <w:rsid w:val="00F76BDF"/>
    <w:rsid w:val="00F96E84"/>
    <w:rsid w:val="00FA32A0"/>
    <w:rsid w:val="00FB0AAA"/>
    <w:rsid w:val="00FC04E9"/>
    <w:rsid w:val="00FC0BA6"/>
    <w:rsid w:val="00FC461D"/>
    <w:rsid w:val="00FD3D79"/>
    <w:rsid w:val="02D46401"/>
    <w:rsid w:val="0405748B"/>
    <w:rsid w:val="04695C6C"/>
    <w:rsid w:val="049802FF"/>
    <w:rsid w:val="055C5C93"/>
    <w:rsid w:val="05E8737A"/>
    <w:rsid w:val="08C94F2B"/>
    <w:rsid w:val="09E111DE"/>
    <w:rsid w:val="0ABC3E3D"/>
    <w:rsid w:val="0ADB2CF4"/>
    <w:rsid w:val="0B8C422C"/>
    <w:rsid w:val="0C7B478E"/>
    <w:rsid w:val="0F391C85"/>
    <w:rsid w:val="0F6E05DA"/>
    <w:rsid w:val="102E2D11"/>
    <w:rsid w:val="108D683E"/>
    <w:rsid w:val="122338FE"/>
    <w:rsid w:val="156B27E5"/>
    <w:rsid w:val="186C142F"/>
    <w:rsid w:val="1AFF2A2E"/>
    <w:rsid w:val="1C536B8E"/>
    <w:rsid w:val="1E3FAB06"/>
    <w:rsid w:val="201E11C5"/>
    <w:rsid w:val="20A98C55"/>
    <w:rsid w:val="21731A80"/>
    <w:rsid w:val="219043E0"/>
    <w:rsid w:val="21D95D87"/>
    <w:rsid w:val="227B299A"/>
    <w:rsid w:val="25F27417"/>
    <w:rsid w:val="262F3FF1"/>
    <w:rsid w:val="2741623A"/>
    <w:rsid w:val="27C22E19"/>
    <w:rsid w:val="28060F58"/>
    <w:rsid w:val="337E072C"/>
    <w:rsid w:val="34E46AC5"/>
    <w:rsid w:val="39B27192"/>
    <w:rsid w:val="3B1479D8"/>
    <w:rsid w:val="3D096A38"/>
    <w:rsid w:val="3DD07BE6"/>
    <w:rsid w:val="3E946E66"/>
    <w:rsid w:val="44D25A49"/>
    <w:rsid w:val="45152A2C"/>
    <w:rsid w:val="456270F2"/>
    <w:rsid w:val="45F722FD"/>
    <w:rsid w:val="4780737E"/>
    <w:rsid w:val="47833F1C"/>
    <w:rsid w:val="4C8A18A8"/>
    <w:rsid w:val="4CAF57B3"/>
    <w:rsid w:val="4DFFEF47"/>
    <w:rsid w:val="4F895E47"/>
    <w:rsid w:val="4FFF20A1"/>
    <w:rsid w:val="517F39A6"/>
    <w:rsid w:val="540463E4"/>
    <w:rsid w:val="57ABF3B2"/>
    <w:rsid w:val="57F4051E"/>
    <w:rsid w:val="58F33322"/>
    <w:rsid w:val="5A3D7F5A"/>
    <w:rsid w:val="5B084A0C"/>
    <w:rsid w:val="5C9DA247"/>
    <w:rsid w:val="5E0C320A"/>
    <w:rsid w:val="5FDFB220"/>
    <w:rsid w:val="600D4872"/>
    <w:rsid w:val="60496549"/>
    <w:rsid w:val="6217362B"/>
    <w:rsid w:val="62BA6289"/>
    <w:rsid w:val="64552344"/>
    <w:rsid w:val="64B254D8"/>
    <w:rsid w:val="64CC2606"/>
    <w:rsid w:val="65DF0715"/>
    <w:rsid w:val="65FC33BF"/>
    <w:rsid w:val="66805D9E"/>
    <w:rsid w:val="66D103A8"/>
    <w:rsid w:val="68C57CDC"/>
    <w:rsid w:val="696C43B8"/>
    <w:rsid w:val="6AFE3735"/>
    <w:rsid w:val="6F40431D"/>
    <w:rsid w:val="6F7DBBB1"/>
    <w:rsid w:val="6FBB4D79"/>
    <w:rsid w:val="6FDFC24B"/>
    <w:rsid w:val="707E9BEF"/>
    <w:rsid w:val="71C11019"/>
    <w:rsid w:val="73A921F6"/>
    <w:rsid w:val="774A385E"/>
    <w:rsid w:val="78EBDB5B"/>
    <w:rsid w:val="796778AE"/>
    <w:rsid w:val="7A3C3932"/>
    <w:rsid w:val="7BB40B99"/>
    <w:rsid w:val="7C907F65"/>
    <w:rsid w:val="7D480412"/>
    <w:rsid w:val="7DD65E4C"/>
    <w:rsid w:val="7DFAADEA"/>
    <w:rsid w:val="7EA68184"/>
    <w:rsid w:val="7EB62F04"/>
    <w:rsid w:val="7F390D88"/>
    <w:rsid w:val="7F8ACDFF"/>
    <w:rsid w:val="7FFD9792"/>
    <w:rsid w:val="7FFE9A25"/>
    <w:rsid w:val="9F5728B1"/>
    <w:rsid w:val="A5F20654"/>
    <w:rsid w:val="AFFFA92C"/>
    <w:rsid w:val="B83FBCF2"/>
    <w:rsid w:val="BB1FA24E"/>
    <w:rsid w:val="DD5F04A7"/>
    <w:rsid w:val="DFFDEB62"/>
    <w:rsid w:val="EFF98F31"/>
    <w:rsid w:val="F3DF4845"/>
    <w:rsid w:val="F7B7FF21"/>
    <w:rsid w:val="FBBF38E7"/>
    <w:rsid w:val="FCFF1A69"/>
    <w:rsid w:val="FDEC9779"/>
    <w:rsid w:val="FFB39AD0"/>
    <w:rsid w:val="FFBDA828"/>
    <w:rsid w:val="FFDF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2"/>
      <w:lang w:val="en-US" w:eastAsia="zh-CN" w:bidi="ar-SA"/>
    </w:rPr>
  </w:style>
  <w:style w:type="paragraph" w:styleId="4">
    <w:name w:val="heading 1"/>
    <w:basedOn w:val="1"/>
    <w:next w:val="1"/>
    <w:qFormat/>
    <w:uiPriority w:val="9"/>
    <w:pPr>
      <w:keepNext/>
      <w:keepLines/>
      <w:numPr>
        <w:ilvl w:val="0"/>
        <w:numId w:val="1"/>
      </w:numPr>
      <w:spacing w:line="360" w:lineRule="auto"/>
      <w:outlineLvl w:val="0"/>
    </w:pPr>
    <w:rPr>
      <w:rFonts w:eastAsia="宋体"/>
      <w:b/>
      <w:kern w:val="44"/>
      <w:sz w:val="28"/>
    </w:rPr>
  </w:style>
  <w:style w:type="paragraph" w:styleId="5">
    <w:name w:val="heading 2"/>
    <w:basedOn w:val="1"/>
    <w:next w:val="1"/>
    <w:unhideWhenUsed/>
    <w:qFormat/>
    <w:uiPriority w:val="9"/>
    <w:pPr>
      <w:keepNext/>
      <w:keepLines/>
      <w:numPr>
        <w:ilvl w:val="1"/>
        <w:numId w:val="1"/>
      </w:numPr>
      <w:spacing w:line="360" w:lineRule="auto"/>
      <w:outlineLvl w:val="1"/>
    </w:pPr>
    <w:rPr>
      <w:rFonts w:ascii="DejaVu Sans" w:hAnsi="DejaVu Sans" w:eastAsia="方正黑体_GBK"/>
      <w:b/>
    </w:rPr>
  </w:style>
  <w:style w:type="paragraph" w:styleId="6">
    <w:name w:val="heading 3"/>
    <w:basedOn w:val="1"/>
    <w:next w:val="1"/>
    <w:unhideWhenUsed/>
    <w:qFormat/>
    <w:uiPriority w:val="9"/>
    <w:pPr>
      <w:keepNext/>
      <w:keepLines/>
      <w:numPr>
        <w:ilvl w:val="2"/>
        <w:numId w:val="1"/>
      </w:numPr>
      <w:spacing w:before="260" w:after="260" w:line="413" w:lineRule="auto"/>
      <w:outlineLvl w:val="2"/>
    </w:pPr>
    <w:rPr>
      <w:rFonts w:asciiTheme="minorAscii" w:hAnsiTheme="minorAscii"/>
      <w:b/>
      <w:sz w:val="24"/>
    </w:rPr>
  </w:style>
  <w:style w:type="paragraph" w:styleId="7">
    <w:name w:val="heading 4"/>
    <w:basedOn w:val="1"/>
    <w:next w:val="1"/>
    <w:unhideWhenUsed/>
    <w:qFormat/>
    <w:uiPriority w:val="9"/>
    <w:pPr>
      <w:keepNext/>
      <w:keepLines/>
      <w:numPr>
        <w:ilvl w:val="3"/>
        <w:numId w:val="1"/>
      </w:numPr>
      <w:spacing w:before="280" w:after="290" w:line="372" w:lineRule="auto"/>
      <w:outlineLvl w:val="3"/>
    </w:pPr>
    <w:rPr>
      <w:rFonts w:ascii="DejaVu Sans" w:hAnsi="DejaVu Sans" w:eastAsia="方正黑体_GBK"/>
      <w:b/>
      <w:sz w:val="28"/>
    </w:rPr>
  </w:style>
  <w:style w:type="paragraph" w:styleId="8">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9">
    <w:name w:val="heading 6"/>
    <w:basedOn w:val="1"/>
    <w:next w:val="1"/>
    <w:unhideWhenUsed/>
    <w:qFormat/>
    <w:uiPriority w:val="9"/>
    <w:pPr>
      <w:keepNext/>
      <w:keepLines/>
      <w:numPr>
        <w:ilvl w:val="5"/>
        <w:numId w:val="1"/>
      </w:numPr>
      <w:spacing w:before="240" w:after="64" w:line="317" w:lineRule="auto"/>
      <w:outlineLvl w:val="5"/>
    </w:pPr>
    <w:rPr>
      <w:rFonts w:ascii="DejaVu Sans" w:hAnsi="DejaVu Sans" w:eastAsia="方正黑体_GBK"/>
      <w:b/>
      <w:sz w:val="24"/>
    </w:rPr>
  </w:style>
  <w:style w:type="paragraph" w:styleId="10">
    <w:name w:val="heading 7"/>
    <w:basedOn w:val="1"/>
    <w:next w:val="1"/>
    <w:unhideWhenUsed/>
    <w:qFormat/>
    <w:uiPriority w:val="9"/>
    <w:pPr>
      <w:keepNext/>
      <w:keepLines/>
      <w:numPr>
        <w:ilvl w:val="6"/>
        <w:numId w:val="1"/>
      </w:numPr>
      <w:spacing w:before="240" w:after="64" w:line="317" w:lineRule="auto"/>
      <w:outlineLvl w:val="6"/>
    </w:pPr>
    <w:rPr>
      <w:b/>
      <w:sz w:val="24"/>
    </w:rPr>
  </w:style>
  <w:style w:type="paragraph" w:styleId="11">
    <w:name w:val="heading 8"/>
    <w:basedOn w:val="1"/>
    <w:next w:val="1"/>
    <w:unhideWhenUsed/>
    <w:qFormat/>
    <w:uiPriority w:val="9"/>
    <w:pPr>
      <w:keepNext/>
      <w:keepLines/>
      <w:numPr>
        <w:ilvl w:val="7"/>
        <w:numId w:val="1"/>
      </w:numPr>
      <w:spacing w:before="240" w:after="64" w:line="317" w:lineRule="auto"/>
      <w:outlineLvl w:val="7"/>
    </w:pPr>
    <w:rPr>
      <w:rFonts w:ascii="DejaVu Sans" w:hAnsi="DejaVu Sans" w:eastAsia="方正黑体_GBK"/>
      <w:sz w:val="24"/>
    </w:rPr>
  </w:style>
  <w:style w:type="paragraph" w:styleId="12">
    <w:name w:val="heading 9"/>
    <w:basedOn w:val="1"/>
    <w:next w:val="1"/>
    <w:unhideWhenUsed/>
    <w:qFormat/>
    <w:uiPriority w:val="9"/>
    <w:pPr>
      <w:keepNext/>
      <w:keepLines/>
      <w:numPr>
        <w:ilvl w:val="8"/>
        <w:numId w:val="1"/>
      </w:numPr>
      <w:spacing w:before="240" w:after="64" w:line="317" w:lineRule="auto"/>
      <w:outlineLvl w:val="8"/>
    </w:pPr>
    <w:rPr>
      <w:rFonts w:ascii="DejaVu Sans" w:hAnsi="DejaVu Sans" w:eastAsia="方正黑体_GBK"/>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720"/>
      </w:tabs>
      <w:ind w:firstLine="420"/>
    </w:pPr>
  </w:style>
  <w:style w:type="paragraph" w:styleId="3">
    <w:name w:val="Body Text Indent"/>
    <w:basedOn w:val="1"/>
    <w:next w:val="2"/>
    <w:unhideWhenUsed/>
    <w:qFormat/>
    <w:uiPriority w:val="99"/>
    <w:pPr>
      <w:spacing w:after="120" w:afterLines="0"/>
      <w:ind w:left="420" w:leftChars="200"/>
    </w:pPr>
  </w:style>
  <w:style w:type="paragraph" w:styleId="13">
    <w:name w:val="annotation text"/>
    <w:basedOn w:val="1"/>
    <w:unhideWhenUsed/>
    <w:qFormat/>
    <w:uiPriority w:val="99"/>
    <w:pPr>
      <w:jc w:val="left"/>
    </w:pPr>
  </w:style>
  <w:style w:type="paragraph" w:styleId="14">
    <w:name w:val="Body Text"/>
    <w:basedOn w:val="1"/>
    <w:next w:val="1"/>
    <w:unhideWhenUsed/>
    <w:qFormat/>
    <w:uiPriority w:val="99"/>
    <w:pPr>
      <w:spacing w:after="120"/>
    </w:pPr>
  </w:style>
  <w:style w:type="paragraph" w:styleId="15">
    <w:name w:val="Body Text Indent 2"/>
    <w:basedOn w:val="1"/>
    <w:unhideWhenUsed/>
    <w:qFormat/>
    <w:uiPriority w:val="99"/>
    <w:pPr>
      <w:spacing w:after="120" w:line="480" w:lineRule="auto"/>
      <w:ind w:left="420" w:leftChars="200"/>
    </w:pPr>
  </w:style>
  <w:style w:type="paragraph" w:styleId="16">
    <w:name w:val="footer"/>
    <w:basedOn w:val="1"/>
    <w:link w:val="27"/>
    <w:unhideWhenUsed/>
    <w:qFormat/>
    <w:uiPriority w:val="99"/>
    <w:pPr>
      <w:tabs>
        <w:tab w:val="center" w:pos="4153"/>
        <w:tab w:val="right" w:pos="8306"/>
      </w:tabs>
      <w:snapToGrid w:val="0"/>
      <w:jc w:val="left"/>
    </w:pPr>
    <w:rPr>
      <w:sz w:val="18"/>
      <w:szCs w:val="18"/>
    </w:rPr>
  </w:style>
  <w:style w:type="paragraph" w:styleId="1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2"/>
    <w:basedOn w:val="1"/>
    <w:unhideWhenUsed/>
    <w:qFormat/>
    <w:uiPriority w:val="99"/>
    <w:pPr>
      <w:spacing w:line="480" w:lineRule="auto"/>
    </w:pPr>
    <w:rPr>
      <w:rFonts w:asciiTheme="minorHAnsi" w:hAnsiTheme="minorHAnsi" w:eastAsiaTheme="minorEastAsia" w:cstheme="minorBidi"/>
    </w:rPr>
  </w:style>
  <w:style w:type="paragraph" w:styleId="19">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0">
    <w:name w:val="Body Text First Indent"/>
    <w:basedOn w:val="14"/>
    <w:unhideWhenUsed/>
    <w:qFormat/>
    <w:uiPriority w:val="99"/>
    <w:pPr>
      <w:spacing w:line="360" w:lineRule="auto"/>
      <w:ind w:firstLine="420" w:firstLineChars="100"/>
    </w:pPr>
    <w:rPr>
      <w:rFonts w:ascii="Calibri" w:hAnsi="Calibri"/>
    </w:rPr>
  </w:style>
  <w:style w:type="table" w:styleId="22">
    <w:name w:val="Table Grid"/>
    <w:basedOn w:val="21"/>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basedOn w:val="23"/>
    <w:unhideWhenUsed/>
    <w:qFormat/>
    <w:uiPriority w:val="99"/>
    <w:rPr>
      <w:sz w:val="21"/>
      <w:szCs w:val="21"/>
    </w:rPr>
  </w:style>
  <w:style w:type="paragraph" w:customStyle="1" w:styleId="25">
    <w:name w:val="列出段落1"/>
    <w:basedOn w:val="1"/>
    <w:qFormat/>
    <w:uiPriority w:val="34"/>
    <w:pPr>
      <w:ind w:firstLine="420" w:firstLineChars="200"/>
    </w:pPr>
  </w:style>
  <w:style w:type="character" w:customStyle="1" w:styleId="26">
    <w:name w:val="页眉 Char"/>
    <w:basedOn w:val="23"/>
    <w:link w:val="17"/>
    <w:qFormat/>
    <w:uiPriority w:val="99"/>
    <w:rPr>
      <w:sz w:val="18"/>
      <w:szCs w:val="18"/>
    </w:rPr>
  </w:style>
  <w:style w:type="character" w:customStyle="1" w:styleId="27">
    <w:name w:val="页脚 Char"/>
    <w:basedOn w:val="23"/>
    <w:link w:val="16"/>
    <w:qFormat/>
    <w:uiPriority w:val="99"/>
    <w:rPr>
      <w:sz w:val="18"/>
      <w:szCs w:val="18"/>
    </w:rPr>
  </w:style>
  <w:style w:type="paragraph" w:customStyle="1" w:styleId="28">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table" w:customStyle="1" w:styleId="29">
    <w:name w:val="Table Normal"/>
    <w:qFormat/>
    <w:uiPriority w:val="0"/>
    <w:rPr>
      <w:rFonts w:ascii="Times New Roman" w:hAnsi="Times New Roman" w:cs="Times New Roman"/>
    </w:rPr>
    <w:tblPr>
      <w:tblCellMar>
        <w:top w:w="0" w:type="dxa"/>
        <w:left w:w="0" w:type="dxa"/>
        <w:bottom w:w="0" w:type="dxa"/>
        <w:right w:w="0" w:type="dxa"/>
      </w:tblCellMar>
    </w:tblPr>
  </w:style>
  <w:style w:type="paragraph" w:customStyle="1" w:styleId="30">
    <w:name w:val="Item List in Table"/>
    <w:basedOn w:val="1"/>
    <w:qFormat/>
    <w:uiPriority w:val="0"/>
    <w:pPr>
      <w:widowControl/>
      <w:numPr>
        <w:ilvl w:val="0"/>
        <w:numId w:val="2"/>
      </w:numPr>
      <w:topLinePunct/>
      <w:adjustRightInd w:val="0"/>
      <w:snapToGrid w:val="0"/>
      <w:spacing w:before="80" w:after="80" w:line="240" w:lineRule="atLeast"/>
      <w:jc w:val="left"/>
    </w:pPr>
    <w:rPr>
      <w:rFonts w:hint="eastAsia" w:ascii="Times New Roman" w:hAnsi="Times New Roman" w:eastAsia="宋体" w:cs="Arial"/>
      <w:kern w:val="0"/>
      <w:szCs w:val="21"/>
    </w:rPr>
  </w:style>
  <w:style w:type="paragraph" w:customStyle="1" w:styleId="31">
    <w:name w:val="正文 首行缩进:  2 字符"/>
    <w:basedOn w:val="1"/>
    <w:qFormat/>
    <w:uiPriority w:val="0"/>
    <w:pPr>
      <w:ind w:firstLine="579" w:firstLineChars="200"/>
    </w:pPr>
    <w:rPr>
      <w:rFonts w:ascii="Calibri" w:hAnsi="Calibri"/>
      <w:szCs w:val="20"/>
    </w:rPr>
  </w:style>
  <w:style w:type="character" w:customStyle="1" w:styleId="32">
    <w:name w:val="font21"/>
    <w:basedOn w:val="23"/>
    <w:qFormat/>
    <w:uiPriority w:val="0"/>
    <w:rPr>
      <w:rFonts w:hint="eastAsia" w:ascii="宋体" w:hAnsi="宋体" w:eastAsia="宋体" w:cs="宋体"/>
      <w:color w:val="000000"/>
      <w:sz w:val="20"/>
      <w:szCs w:val="20"/>
      <w:u w:val="none"/>
    </w:rPr>
  </w:style>
  <w:style w:type="character" w:customStyle="1" w:styleId="33">
    <w:name w:val="font01"/>
    <w:basedOn w:val="23"/>
    <w:qFormat/>
    <w:uiPriority w:val="0"/>
    <w:rPr>
      <w:rFonts w:ascii="Calibri" w:hAnsi="Calibri" w:cs="Calibri"/>
      <w:color w:val="000000"/>
      <w:sz w:val="20"/>
      <w:szCs w:val="20"/>
      <w:u w:val="none"/>
    </w:rPr>
  </w:style>
  <w:style w:type="character" w:customStyle="1" w:styleId="34">
    <w:name w:val="font91"/>
    <w:basedOn w:val="23"/>
    <w:qFormat/>
    <w:uiPriority w:val="0"/>
    <w:rPr>
      <w:rFonts w:hint="eastAsia" w:ascii="宋体" w:hAnsi="宋体" w:eastAsia="宋体" w:cs="宋体"/>
      <w:b/>
      <w:color w:val="000000"/>
      <w:sz w:val="20"/>
      <w:szCs w:val="20"/>
      <w:u w:val="none"/>
    </w:rPr>
  </w:style>
  <w:style w:type="character" w:customStyle="1" w:styleId="35">
    <w:name w:val="font11"/>
    <w:basedOn w:val="23"/>
    <w:qFormat/>
    <w:uiPriority w:val="0"/>
    <w:rPr>
      <w:rFonts w:hint="eastAsia" w:ascii="宋体" w:hAnsi="宋体" w:eastAsia="宋体" w:cs="宋体"/>
      <w:color w:val="000000"/>
      <w:sz w:val="20"/>
      <w:szCs w:val="20"/>
      <w:u w:val="none"/>
    </w:rPr>
  </w:style>
  <w:style w:type="character" w:customStyle="1" w:styleId="36">
    <w:name w:val="font41"/>
    <w:basedOn w:val="23"/>
    <w:qFormat/>
    <w:uiPriority w:val="0"/>
    <w:rPr>
      <w:rFonts w:hint="eastAsia" w:ascii="宋体" w:hAnsi="宋体" w:eastAsia="宋体" w:cs="宋体"/>
      <w:color w:val="000000"/>
      <w:sz w:val="20"/>
      <w:szCs w:val="20"/>
      <w:u w:val="none"/>
    </w:rPr>
  </w:style>
  <w:style w:type="character" w:customStyle="1" w:styleId="37">
    <w:name w:val="font71"/>
    <w:basedOn w:val="23"/>
    <w:qFormat/>
    <w:uiPriority w:val="0"/>
    <w:rPr>
      <w:rFonts w:ascii="Calibri" w:hAnsi="Calibri" w:cs="Calibri"/>
      <w:color w:val="000000"/>
      <w:sz w:val="20"/>
      <w:szCs w:val="20"/>
      <w:u w:val="none"/>
    </w:rPr>
  </w:style>
  <w:style w:type="paragraph" w:customStyle="1" w:styleId="38">
    <w:name w:val="List Paragraph"/>
    <w:basedOn w:val="1"/>
    <w:qFormat/>
    <w:uiPriority w:val="34"/>
    <w:pPr>
      <w:ind w:firstLine="420"/>
    </w:pPr>
  </w:style>
  <w:style w:type="paragraph" w:customStyle="1" w:styleId="39">
    <w:name w:val="*正文"/>
    <w:basedOn w:val="1"/>
    <w:qFormat/>
    <w:uiPriority w:val="0"/>
    <w:pPr>
      <w:widowControl/>
      <w:ind w:firstLine="560"/>
      <w:jc w:val="left"/>
    </w:pPr>
    <w:rPr>
      <w:rFonts w:ascii="仿宋_GB2312" w:hAnsi="宋体" w:eastAsia="宋体" w:cs="Times New Roman"/>
      <w:color w:val="000000"/>
      <w:kern w:val="0"/>
      <w:sz w:val="24"/>
      <w:szCs w:val="28"/>
    </w:rPr>
  </w:style>
  <w:style w:type="paragraph" w:customStyle="1" w:styleId="40">
    <w:name w:val="_Style 1"/>
    <w:basedOn w:val="1"/>
    <w:qFormat/>
    <w:uiPriority w:val="34"/>
    <w:pPr>
      <w:ind w:firstLine="420" w:firstLineChars="200"/>
    </w:pPr>
    <w:rPr>
      <w:sz w:val="28"/>
      <w:szCs w:val="24"/>
    </w:rPr>
  </w:style>
  <w:style w:type="paragraph" w:customStyle="1" w:styleId="41">
    <w:name w:val="宋体五号"/>
    <w:basedOn w:val="14"/>
    <w:qFormat/>
    <w:uiPriority w:val="0"/>
    <w:pPr>
      <w:spacing w:after="0" w:line="360" w:lineRule="auto"/>
      <w:ind w:firstLine="420" w:firstLineChars="200"/>
    </w:pPr>
    <w:rPr>
      <w:rFonts w:ascii="宋体" w:hAnsi="宋体" w:eastAsia="宋体" w:cs="Times New Roman"/>
      <w:szCs w:val="21"/>
      <w:lang w:val="zh-CN" w:eastAsia="zh-CN"/>
    </w:rPr>
  </w:style>
  <w:style w:type="character" w:customStyle="1" w:styleId="42">
    <w:name w:val="dy_biao_content1"/>
    <w:qFormat/>
    <w:uiPriority w:val="0"/>
    <w:rPr>
      <w:rFonts w:hint="eastAsia" w:ascii="宋体" w:hAnsi="宋体"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8</Pages>
  <Words>802</Words>
  <Characters>4574</Characters>
  <Lines>38</Lines>
  <Paragraphs>10</Paragraphs>
  <TotalTime>3</TotalTime>
  <ScaleCrop>false</ScaleCrop>
  <LinksUpToDate>false</LinksUpToDate>
  <CharactersWithSpaces>5366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2020-08-01T12:53:00Z</dcterms:created>
  <dc:creator>Windows 用户</dc:creator>
  <cp:lastModifiedBy>user</cp:lastModifiedBy>
  <dcterms:modified xsi:type="dcterms:W3CDTF">2022-02-10T07:14:41Z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_2015_ms_pID_725343">
    <vt:lpwstr>(2)nHrLJmD9H0mjY+s9tFF4vVsE/djiNCw4cAuuGKwqHVVqxEl3zjDC24gq72MxK1i+JE5cc0WR
rSQNdsKLtgab/dtXkwYuxeAipxmdMrcHcJVmwfb5xQTNru5ES81Sb2GhXe1a4dQRHwDFMlCJ
7w4XWRxYmvYdYZGl5m/F1SNEO7GppjXCRFnDPNSm9Tuy5e0Exqn0Hr3cR0z20FGTFf0INYlY
fNbCm9ELjXHMspWT/4</vt:lpwstr>
  </property>
  <property fmtid="{D5CDD505-2E9C-101B-9397-08002B2CF9AE}" pid="4" name="_2015_ms_pID_7253431">
    <vt:lpwstr>Ma0UnQJ2x7YrDN2EHmhtDRlgTfCfBYzhvb81HkU2ZYAHB4LaYzj7/M
gLwGYTvZJPuMt5LdS8Y5zCcoSSh4XS4b/uPoh3jUBn1pt1/OvmALXfY9b9W8LkkBY9vG/aO9
5uiucvCbCtV7QexpbgyLYkeYgXPH0iT2YmX98byi+2HqekpITPpY29BIpPVUtmREeAaG7Ft8
wn+umQahp2WLt4Ru</vt:lpwstr>
  </property>
  <property fmtid="{D5CDD505-2E9C-101B-9397-08002B2CF9AE}" pid="5" name="ICV">
    <vt:lpwstr>C0A9D1FBC2414A769865A301A9F8455E</vt:lpwstr>
  </property>
</Properties>
</file>