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130175</wp:posOffset>
            </wp:positionV>
            <wp:extent cx="1778000" cy="577850"/>
            <wp:effectExtent l="0" t="0" r="5080" b="1270"/>
            <wp:wrapNone/>
            <wp:docPr id="1" name="图片 1" descr="医院新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新L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253" cy="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hint="eastAsia" w:asciiTheme="minorEastAsia" w:hAnsiTheme="minorEastAsia"/>
          <w:b/>
          <w:sz w:val="72"/>
          <w:szCs w:val="72"/>
        </w:rPr>
      </w:pPr>
    </w:p>
    <w:p>
      <w:pPr>
        <w:jc w:val="center"/>
        <w:rPr>
          <w:rFonts w:asciiTheme="minorEastAsia" w:hAnsiTheme="minorEastAsia"/>
          <w:b/>
          <w:sz w:val="72"/>
          <w:szCs w:val="72"/>
        </w:rPr>
      </w:pPr>
      <w:r>
        <w:rPr>
          <w:rFonts w:hint="eastAsia" w:asciiTheme="minorEastAsia" w:hAnsiTheme="minorEastAsia"/>
          <w:b/>
          <w:sz w:val="72"/>
          <w:szCs w:val="72"/>
        </w:rPr>
        <w:t>采 购 文 件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both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adjustRightInd w:val="0"/>
        <w:snapToGrid w:val="0"/>
        <w:jc w:val="center"/>
        <w:rPr>
          <w:rFonts w:hint="eastAsia" w:eastAsia="宋体"/>
          <w:b/>
          <w:sz w:val="40"/>
          <w:szCs w:val="40"/>
          <w:lang w:val="en-US" w:eastAsia="zh-CN"/>
        </w:rPr>
      </w:pPr>
      <w:r>
        <w:rPr>
          <w:rFonts w:hint="eastAsia" w:asciiTheme="minorEastAsia" w:hAnsiTheme="minorEastAsia"/>
          <w:b/>
          <w:sz w:val="40"/>
          <w:szCs w:val="40"/>
        </w:rPr>
        <w:t>项目名称：</w:t>
      </w:r>
      <w:r>
        <w:rPr>
          <w:rFonts w:hint="eastAsia"/>
          <w:b/>
          <w:sz w:val="40"/>
          <w:szCs w:val="40"/>
        </w:rPr>
        <w:t>国药东风总医院弱电零星布线施工</w:t>
      </w:r>
      <w:r>
        <w:rPr>
          <w:rFonts w:hint="eastAsia"/>
          <w:b/>
          <w:sz w:val="40"/>
          <w:szCs w:val="40"/>
          <w:lang w:val="en-US" w:eastAsia="zh-CN"/>
        </w:rPr>
        <w:t>项目</w:t>
      </w:r>
    </w:p>
    <w:p>
      <w:pPr>
        <w:bidi w:val="0"/>
        <w:jc w:val="center"/>
        <w:rPr>
          <w:b/>
          <w:bCs/>
          <w:sz w:val="36"/>
          <w:szCs w:val="40"/>
        </w:rPr>
      </w:pPr>
    </w:p>
    <w:p>
      <w:pPr>
        <w:pStyle w:val="19"/>
        <w:keepNext w:val="0"/>
        <w:keepLines w:val="0"/>
        <w:widowControl/>
        <w:suppressLineNumbers w:val="0"/>
        <w:spacing w:before="157" w:beforeAutospacing="0" w:after="34" w:afterAutospacing="0" w:line="364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both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48"/>
          <w:szCs w:val="48"/>
        </w:rPr>
      </w:pPr>
    </w:p>
    <w:p>
      <w:pPr>
        <w:jc w:val="both"/>
        <w:rPr>
          <w:rFonts w:asciiTheme="minorEastAsia" w:hAnsiTheme="minorEastAsia"/>
          <w:b/>
          <w:sz w:val="48"/>
          <w:szCs w:val="4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月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第一章 采购书</w:t>
      </w:r>
    </w:p>
    <w:p>
      <w:pPr>
        <w:spacing w:line="360" w:lineRule="auto"/>
        <w:rPr>
          <w:sz w:val="24"/>
          <w:szCs w:val="24"/>
        </w:rPr>
      </w:pPr>
    </w:p>
    <w:p>
      <w:pPr>
        <w:bidi w:val="0"/>
        <w:ind w:firstLine="720" w:firstLineChars="300"/>
        <w:jc w:val="both"/>
        <w:rPr>
          <w:rFonts w:asciiTheme="minorEastAsia" w:hAnsiTheme="minorEastAsia"/>
          <w:bCs/>
          <w:sz w:val="15"/>
          <w:szCs w:val="15"/>
        </w:rPr>
      </w:pPr>
      <w:r>
        <w:rPr>
          <w:rFonts w:hint="eastAsia" w:asciiTheme="minorEastAsia" w:hAnsiTheme="minorEastAsia"/>
          <w:sz w:val="24"/>
          <w:szCs w:val="24"/>
        </w:rPr>
        <w:t>1.  项目名称：</w:t>
      </w:r>
      <w:r>
        <w:rPr>
          <w:rFonts w:hint="eastAsia"/>
          <w:b/>
          <w:sz w:val="24"/>
          <w:szCs w:val="24"/>
        </w:rPr>
        <w:t>国药东风总医院弱电零星布线施工</w:t>
      </w:r>
      <w:r>
        <w:rPr>
          <w:rFonts w:hint="eastAsia"/>
          <w:b/>
          <w:sz w:val="24"/>
          <w:szCs w:val="24"/>
          <w:lang w:val="en-US" w:eastAsia="zh-CN"/>
        </w:rPr>
        <w:t>项目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  项目概况：详见技术要求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  资金来源：自筹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  交货方式、地点：</w:t>
      </w:r>
    </w:p>
    <w:p>
      <w:pPr>
        <w:spacing w:line="360" w:lineRule="auto"/>
        <w:ind w:right="-833" w:rightChars="-347"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运输方式：由报价人自行确定（包装费、运输费及保险费，包含在总报价内）</w:t>
      </w:r>
    </w:p>
    <w:p>
      <w:pPr>
        <w:spacing w:line="360" w:lineRule="auto"/>
        <w:ind w:firstLine="1200" w:firstLineChars="5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交货地点：湖北省十堰市大岭路16号</w:t>
      </w:r>
    </w:p>
    <w:p>
      <w:pPr>
        <w:spacing w:line="360" w:lineRule="auto"/>
        <w:ind w:firstLine="1262" w:firstLineChars="526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收货单位：国药东风总医院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5.  货款结算方式：</w:t>
      </w:r>
    </w:p>
    <w:p>
      <w:pPr>
        <w:spacing w:line="360" w:lineRule="auto"/>
        <w:ind w:left="1368" w:leftChars="57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货款及运输费用等经采购人验收合格后，由国药东风总医院与卖方（中标人）结算，具体结算办法如下：</w:t>
      </w:r>
    </w:p>
    <w:p>
      <w:pPr>
        <w:spacing w:line="360" w:lineRule="auto"/>
        <w:ind w:left="1301" w:leftChars="342" w:hanging="480" w:hangingChars="200"/>
        <w:rPr>
          <w:rFonts w:hint="default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5.1 </w:t>
      </w:r>
      <w:r>
        <w:rPr>
          <w:rFonts w:hint="eastAsia" w:asciiTheme="minorEastAsia" w:hAnsiTheme="minorEastAsia"/>
          <w:sz w:val="24"/>
          <w:szCs w:val="24"/>
          <w:highlight w:val="none"/>
        </w:rPr>
        <w:t>项目验收合格后，卖方向买方开具合同全额发票（普通发票或增值税专用发票），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按季度结算一次。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6.  报名时间：202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/>
          <w:sz w:val="24"/>
          <w:szCs w:val="24"/>
        </w:rPr>
        <w:t>日至202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/>
          <w:sz w:val="24"/>
          <w:szCs w:val="24"/>
        </w:rPr>
        <w:t>日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7.  报价截止时间：202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/>
          <w:sz w:val="24"/>
          <w:szCs w:val="24"/>
        </w:rPr>
        <w:t>日下午18：00以前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8.  评审时间：</w:t>
      </w:r>
      <w:r>
        <w:rPr>
          <w:rFonts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22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日</w:t>
      </w:r>
    </w:p>
    <w:p>
      <w:pPr>
        <w:spacing w:line="360" w:lineRule="auto"/>
        <w:ind w:firstLine="720" w:firstLineChars="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  报价方式：纸质报价</w:t>
      </w:r>
    </w:p>
    <w:p>
      <w:pPr>
        <w:spacing w:line="360" w:lineRule="auto"/>
        <w:ind w:firstLine="720" w:firstLineChars="3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 业主联系方式：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联系单位：国药东风总医院运营管理科</w:t>
      </w:r>
    </w:p>
    <w:p>
      <w:pPr>
        <w:spacing w:line="360" w:lineRule="auto"/>
        <w:ind w:firstLine="1024" w:firstLineChars="427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联系人：陈静</w:t>
      </w:r>
    </w:p>
    <w:p>
      <w:pPr>
        <w:spacing w:line="360" w:lineRule="auto"/>
        <w:ind w:firstLine="1024" w:firstLineChars="427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电话：0719-8272215    13907280772</w:t>
      </w: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spacing w:line="360" w:lineRule="auto"/>
        <w:ind w:firstLine="480"/>
        <w:rPr>
          <w:rFonts w:hint="eastAsia" w:asciiTheme="minorEastAsia" w:hAnsiTheme="minorEastAsia"/>
          <w:sz w:val="24"/>
          <w:szCs w:val="24"/>
        </w:rPr>
      </w:pPr>
    </w:p>
    <w:p>
      <w:pPr>
        <w:pStyle w:val="2"/>
        <w:rPr>
          <w:rFonts w:hint="eastAsia" w:asciiTheme="minorEastAsia" w:hAnsiTheme="minorEastAsia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 w:asciiTheme="minorEastAsia" w:hAnsiTheme="minorEastAsia"/>
          <w:sz w:val="24"/>
          <w:szCs w:val="24"/>
        </w:rPr>
      </w:pPr>
    </w:p>
    <w:p>
      <w:pPr>
        <w:adjustRightInd w:val="0"/>
        <w:snapToGri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国药东风总医院</w:t>
      </w:r>
    </w:p>
    <w:p>
      <w:pPr>
        <w:adjustRightInd w:val="0"/>
        <w:snapToGri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弱电零星布线施工要求</w:t>
      </w:r>
    </w:p>
    <w:p>
      <w:pPr>
        <w:pStyle w:val="41"/>
        <w:ind w:firstLine="480"/>
        <w:rPr>
          <w:sz w:val="24"/>
          <w:szCs w:val="24"/>
          <w:lang w:eastAsia="zh-CN"/>
        </w:rPr>
      </w:pPr>
      <w:r>
        <w:rPr>
          <w:rFonts w:hint="eastAsia"/>
          <w:sz w:val="24"/>
          <w:lang w:val="en-GB" w:eastAsia="zh-CN"/>
        </w:rPr>
        <w:t>国药</w:t>
      </w:r>
      <w:r>
        <w:rPr>
          <w:rFonts w:hint="eastAsia"/>
          <w:sz w:val="24"/>
          <w:lang w:val="en-GB"/>
        </w:rPr>
        <w:t>东风总医院</w:t>
      </w:r>
      <w:r>
        <w:rPr>
          <w:rFonts w:hint="eastAsia"/>
          <w:sz w:val="24"/>
          <w:szCs w:val="24"/>
        </w:rPr>
        <w:t>信息化</w:t>
      </w:r>
      <w:r>
        <w:rPr>
          <w:rFonts w:hint="eastAsia"/>
          <w:sz w:val="24"/>
          <w:szCs w:val="24"/>
          <w:lang w:eastAsia="zh-CN"/>
        </w:rPr>
        <w:t>弱电</w:t>
      </w:r>
      <w:r>
        <w:rPr>
          <w:rFonts w:hint="eastAsia"/>
          <w:sz w:val="24"/>
          <w:szCs w:val="24"/>
        </w:rPr>
        <w:t>工程将建设成为垂直主干千兆、水平千兆交换式计算机网络，建立有线传输、内网、外网等多应用的网络平台，实现</w:t>
      </w:r>
      <w:r>
        <w:rPr>
          <w:rFonts w:hint="eastAsia"/>
          <w:sz w:val="24"/>
          <w:szCs w:val="24"/>
          <w:lang w:eastAsia="zh-CN"/>
        </w:rPr>
        <w:t>国药</w:t>
      </w:r>
      <w:r>
        <w:rPr>
          <w:rFonts w:hint="eastAsia"/>
          <w:sz w:val="24"/>
          <w:lang w:val="en-GB"/>
        </w:rPr>
        <w:t>东风总医院</w:t>
      </w:r>
      <w:r>
        <w:rPr>
          <w:rFonts w:hint="eastAsia"/>
          <w:sz w:val="24"/>
          <w:szCs w:val="24"/>
        </w:rPr>
        <w:t>数据业务的网络化和自动化，实现资源共享和信息的快速传递，提高工作效率，提升</w:t>
      </w:r>
      <w:r>
        <w:rPr>
          <w:rFonts w:hint="eastAsia"/>
          <w:sz w:val="24"/>
          <w:szCs w:val="24"/>
          <w:lang w:eastAsia="zh-CN"/>
        </w:rPr>
        <w:t>院区</w:t>
      </w:r>
      <w:r>
        <w:rPr>
          <w:rFonts w:hint="eastAsia"/>
          <w:sz w:val="24"/>
          <w:szCs w:val="24"/>
        </w:rPr>
        <w:t>监督管理信息水平。</w:t>
      </w:r>
    </w:p>
    <w:p>
      <w:pPr>
        <w:pStyle w:val="41"/>
        <w:ind w:firstLine="48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背景：</w:t>
      </w:r>
    </w:p>
    <w:p>
      <w:pPr>
        <w:pStyle w:val="41"/>
        <w:ind w:firstLine="480"/>
        <w:rPr>
          <w:sz w:val="24"/>
          <w:szCs w:val="24"/>
          <w:lang w:eastAsia="zh-CN"/>
        </w:rPr>
      </w:pPr>
      <w:r>
        <w:rPr>
          <w:rFonts w:hint="eastAsia"/>
          <w:sz w:val="24"/>
          <w:lang w:val="en-GB" w:eastAsia="zh-CN"/>
        </w:rPr>
        <w:t>国药</w:t>
      </w:r>
      <w:r>
        <w:rPr>
          <w:rFonts w:hint="eastAsia"/>
          <w:sz w:val="24"/>
          <w:lang w:val="en-GB"/>
        </w:rPr>
        <w:t>东风总医院</w:t>
      </w:r>
      <w:r>
        <w:rPr>
          <w:rFonts w:hint="eastAsia"/>
          <w:sz w:val="24"/>
          <w:lang w:val="en-GB" w:eastAsia="zh-CN"/>
        </w:rPr>
        <w:t>因科室内部结构调整、房间功能改变、人员调动等原因，需要经常进行零星布线。</w:t>
      </w:r>
    </w:p>
    <w:p>
      <w:pPr>
        <w:pStyle w:val="41"/>
        <w:ind w:firstLine="482"/>
        <w:rPr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要求：</w:t>
      </w:r>
    </w:p>
    <w:p>
      <w:pPr>
        <w:pStyle w:val="41"/>
        <w:ind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1、</w:t>
      </w:r>
      <w:r>
        <w:rPr>
          <w:rFonts w:hint="eastAsia"/>
          <w:sz w:val="24"/>
          <w:szCs w:val="24"/>
        </w:rPr>
        <w:t>工作区子系统</w:t>
      </w:r>
    </w:p>
    <w:p>
      <w:pPr>
        <w:pStyle w:val="41"/>
        <w:ind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暗装或明装PVC线槽，按房间要求配置单口或双口面板，并做好标识标记。</w:t>
      </w:r>
    </w:p>
    <w:p>
      <w:pPr>
        <w:pStyle w:val="41"/>
        <w:ind w:firstLine="537" w:firstLineChars="22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</w:t>
      </w:r>
      <w:r>
        <w:rPr>
          <w:rFonts w:hint="eastAsia"/>
          <w:sz w:val="24"/>
          <w:szCs w:val="24"/>
        </w:rPr>
        <w:t>水平区子系统</w:t>
      </w:r>
    </w:p>
    <w:p>
      <w:pPr>
        <w:pStyle w:val="41"/>
        <w:ind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水平线配线架经水平桥架、预埋穿管走线至各工作区。配线架与信息插座之间均为点到点端接。</w:t>
      </w:r>
    </w:p>
    <w:p>
      <w:pPr>
        <w:pStyle w:val="41"/>
        <w:ind w:firstLine="537" w:firstLineChars="22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</w:t>
      </w:r>
      <w:r>
        <w:rPr>
          <w:rFonts w:hint="eastAsia"/>
          <w:sz w:val="24"/>
          <w:szCs w:val="24"/>
        </w:rPr>
        <w:t>垂直主干子系统</w:t>
      </w:r>
    </w:p>
    <w:p>
      <w:pPr>
        <w:pStyle w:val="41"/>
        <w:ind w:firstLine="537" w:firstLineChars="22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利用现有的竖井通道，注意</w:t>
      </w:r>
      <w:r>
        <w:rPr>
          <w:rFonts w:hint="eastAsia"/>
          <w:sz w:val="24"/>
          <w:szCs w:val="24"/>
        </w:rPr>
        <w:t>垂直竖井内应仔细考虑双绞线的固定</w:t>
      </w:r>
      <w:r>
        <w:rPr>
          <w:rFonts w:hint="eastAsia"/>
          <w:sz w:val="24"/>
          <w:szCs w:val="24"/>
          <w:lang w:eastAsia="zh-CN"/>
        </w:rPr>
        <w:t>，避免因太重导致拉伸、变形。</w:t>
      </w:r>
    </w:p>
    <w:p>
      <w:pPr>
        <w:pStyle w:val="41"/>
        <w:ind w:firstLine="537" w:firstLineChars="22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4、</w:t>
      </w:r>
      <w:r>
        <w:rPr>
          <w:rFonts w:hint="eastAsia"/>
          <w:sz w:val="24"/>
          <w:szCs w:val="24"/>
        </w:rPr>
        <w:t>管理区子系统</w:t>
      </w:r>
    </w:p>
    <w:p>
      <w:pPr>
        <w:pStyle w:val="41"/>
        <w:ind w:firstLine="537" w:firstLineChars="22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双绞线及垂直主干线缆均端接到配线架上，所有的线缆，包括双绞线、光纤等均汇聚在机柜的正下方穿引至机柜，然后进行线缆的分布和整理。在机柜内，所有网络配线架等均通过一定的编号规则和颜色规则，采用不易磨损和脱落的标识，并在最终设备和网络验收过程中形成详细的书面和电子记录，方便以后对网络的管理和维护。</w:t>
      </w:r>
    </w:p>
    <w:p>
      <w:pPr>
        <w:pStyle w:val="41"/>
        <w:ind w:firstLine="417" w:firstLineChars="17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5、施工主材材料范围</w:t>
      </w:r>
    </w:p>
    <w:p>
      <w:pPr>
        <w:pStyle w:val="41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主干线缆采用六类非屏蔽双绞线，桌面端采用单口/双口面板根据具体功能需求选择,机房端需配六类非屏蔽配线架和理线器，信息点两端配六类非屏蔽模块。为保证工程质量</w:t>
      </w:r>
      <w:r>
        <w:rPr>
          <w:rFonts w:hint="eastAsia" w:cs="宋体"/>
          <w:kern w:val="0"/>
          <w:sz w:val="22"/>
          <w:lang w:eastAsia="zh-CN"/>
        </w:rPr>
        <w:t>施工主材需提供正规厂商针对本项目的授权书及售后服务承诺函。</w:t>
      </w:r>
    </w:p>
    <w:p>
      <w:pPr>
        <w:pStyle w:val="41"/>
        <w:ind w:firstLine="417" w:firstLineChars="17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6、施工标准</w:t>
      </w:r>
    </w:p>
    <w:p>
      <w:pPr>
        <w:pStyle w:val="41"/>
        <w:ind w:firstLine="480" w:firstLineChars="20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项目施工必须按照专业标准布线明装线缆需安装满足需求的</w:t>
      </w:r>
      <w:r>
        <w:rPr>
          <w:rFonts w:hint="eastAsia"/>
          <w:sz w:val="24"/>
          <w:szCs w:val="24"/>
          <w:lang w:eastAsia="zh-CN"/>
        </w:rPr>
        <w:t>PVC线槽及明装底盒，吊顶需</w:t>
      </w:r>
      <w:r>
        <w:rPr>
          <w:sz w:val="24"/>
          <w:szCs w:val="24"/>
          <w:lang w:eastAsia="zh-CN"/>
        </w:rPr>
        <w:t>安装满足需求的</w:t>
      </w:r>
      <w:r>
        <w:rPr>
          <w:rFonts w:hint="eastAsia"/>
          <w:sz w:val="24"/>
          <w:szCs w:val="24"/>
          <w:lang w:eastAsia="zh-CN"/>
        </w:rPr>
        <w:t>PVC线管，暗敷的需开槽并埋管安装信息底盒，</w:t>
      </w:r>
      <w:r>
        <w:rPr>
          <w:rFonts w:hint="eastAsia"/>
          <w:sz w:val="24"/>
          <w:szCs w:val="24"/>
          <w:lang w:val="en-US" w:eastAsia="zh-CN"/>
        </w:rPr>
        <w:t>各楼层弱电井机柜内各类线路、设备需保持整齐、整洁</w:t>
      </w:r>
      <w:r>
        <w:rPr>
          <w:rFonts w:hint="eastAsia"/>
          <w:sz w:val="24"/>
          <w:szCs w:val="24"/>
          <w:lang w:eastAsia="zh-CN"/>
        </w:rPr>
        <w:t>。信息点施工完毕必须测试通过满足正常使用。</w:t>
      </w:r>
    </w:p>
    <w:p>
      <w:pPr>
        <w:pStyle w:val="41"/>
        <w:ind w:firstLine="417" w:firstLineChars="17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7、施工范围</w:t>
      </w:r>
    </w:p>
    <w:p>
      <w:pPr>
        <w:pStyle w:val="41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本次项目只使用于信息点零星布线，涉及到光缆及其配件、机柜等不在本次议价范围内。</w:t>
      </w:r>
    </w:p>
    <w:p>
      <w:pPr>
        <w:pStyle w:val="41"/>
        <w:ind w:firstLine="417" w:firstLineChars="17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8、议价结算方式</w:t>
      </w:r>
    </w:p>
    <w:p>
      <w:pPr>
        <w:pStyle w:val="41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本次项目议价按照六类信息点位单价议价，结算方式</w:t>
      </w:r>
      <w:r>
        <w:rPr>
          <w:rFonts w:hint="eastAsia"/>
          <w:b/>
          <w:bCs/>
          <w:sz w:val="28"/>
          <w:szCs w:val="28"/>
          <w:lang w:eastAsia="zh-CN"/>
        </w:rPr>
        <w:t>按照每季度结算</w:t>
      </w:r>
      <w:r>
        <w:rPr>
          <w:rFonts w:hint="eastAsia"/>
          <w:sz w:val="24"/>
          <w:szCs w:val="24"/>
          <w:lang w:eastAsia="zh-CN"/>
        </w:rPr>
        <w:t>：总信息点位/季度*信息点位单价=每季度施工总价。</w:t>
      </w:r>
    </w:p>
    <w:p>
      <w:pPr>
        <w:pStyle w:val="41"/>
        <w:ind w:firstLine="417" w:firstLineChars="17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9、施工单位资质</w:t>
      </w:r>
    </w:p>
    <w:p>
      <w:pPr>
        <w:pStyle w:val="41"/>
        <w:ind w:firstLine="480" w:firstLineChars="20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施工单位资质要求：需包含计算机网络工程安装、系统集成等资质。</w:t>
      </w:r>
    </w:p>
    <w:p>
      <w:pPr>
        <w:pStyle w:val="41"/>
        <w:ind w:firstLine="417" w:firstLineChars="174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10、售后服务</w:t>
      </w:r>
    </w:p>
    <w:p>
      <w:pPr>
        <w:pStyle w:val="41"/>
        <w:ind w:firstLine="480" w:firstLineChars="200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项目施工范围内出现物流链路故障必须10分钟内给出响应，30分钟到达现场，1个小时解决故障。</w:t>
      </w:r>
      <w:r>
        <w:rPr>
          <w:rFonts w:hint="eastAsia" w:cs="宋体"/>
          <w:b/>
          <w:bCs/>
          <w:kern w:val="0"/>
          <w:sz w:val="22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4"/>
          <w:szCs w:val="24"/>
          <w:highlight w:val="none"/>
          <w:lang w:val="en-US" w:eastAsia="zh-CN"/>
        </w:rPr>
        <w:t>2、</w:t>
      </w:r>
      <w:r>
        <w:rPr>
          <w:rFonts w:asciiTheme="minorEastAsia" w:hAnsiTheme="minorEastAsia"/>
          <w:b/>
          <w:bCs/>
          <w:sz w:val="24"/>
          <w:szCs w:val="24"/>
        </w:rPr>
        <w:t>供应商资质要求：</w:t>
      </w:r>
    </w:p>
    <w:p>
      <w:pPr>
        <w:spacing w:line="360" w:lineRule="auto"/>
        <w:ind w:left="48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2.1.1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供应商应是注册于中华人民共和国的独立企业法人，满足采购文件要求资格的企业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2.1.2 </w:t>
      </w:r>
      <w:r>
        <w:rPr>
          <w:rFonts w:asciiTheme="minorEastAsia" w:hAnsiTheme="minorEastAsia"/>
          <w:sz w:val="24"/>
          <w:szCs w:val="24"/>
        </w:rPr>
        <w:t>符合政府采购法第二十二条规定的供应商资格条件</w:t>
      </w:r>
      <w:r>
        <w:rPr>
          <w:rFonts w:hint="eastAsia" w:asciiTheme="minorEastAsia" w:hAnsiTheme="minorEastAsia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①具有独立承担民事责任的能力；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②具有良好的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服务</w:t>
      </w:r>
      <w:r>
        <w:rPr>
          <w:rFonts w:asciiTheme="minorEastAsia" w:hAnsiTheme="minorEastAsia"/>
          <w:sz w:val="24"/>
          <w:szCs w:val="24"/>
        </w:rPr>
        <w:t>信誉和健全的财务会计制度；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③具有履行合同所必需的设备和专业技术能力；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④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具</w:t>
      </w:r>
      <w:r>
        <w:rPr>
          <w:rFonts w:asciiTheme="minorEastAsia" w:hAnsiTheme="minorEastAsia"/>
          <w:sz w:val="24"/>
          <w:szCs w:val="24"/>
        </w:rPr>
        <w:t>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asciiTheme="minorEastAsia" w:hAnsiTheme="minorEastAsia"/>
          <w:sz w:val="24"/>
          <w:szCs w:val="24"/>
        </w:rPr>
        <w:t>⑤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参加本次投标活动前三年内，</w:t>
      </w:r>
      <w:r>
        <w:rPr>
          <w:rFonts w:hint="eastAsia" w:asciiTheme="minorEastAsia" w:hAnsiTheme="minorEastAsia" w:eastAsiaTheme="minorEastAsia" w:cstheme="minorEastAsia"/>
          <w:spacing w:val="-9"/>
          <w:sz w:val="24"/>
          <w:szCs w:val="24"/>
          <w:highlight w:val="none"/>
        </w:rPr>
        <w:t>在服务活动中没有重大违法记录；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 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asciiTheme="minorEastAsia" w:hAnsiTheme="minorEastAsia"/>
          <w:sz w:val="24"/>
          <w:szCs w:val="24"/>
        </w:rPr>
        <w:t>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近三年内不存在违反招投标和政府采购相关法律法规的禁止行为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 </w:t>
      </w:r>
    </w:p>
    <w:p>
      <w:pPr>
        <w:pStyle w:val="1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320" w:lineRule="atLeast"/>
        <w:ind w:left="0" w:right="0" w:firstLine="241" w:firstLineChars="100"/>
        <w:textAlignment w:val="auto"/>
        <w:rPr>
          <w:rFonts w:hint="default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/>
          <w:bCs/>
          <w:spacing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pacing w:val="0"/>
          <w:sz w:val="24"/>
          <w:szCs w:val="24"/>
          <w:highlight w:val="none"/>
          <w:lang w:val="en-US" w:eastAsia="zh-CN"/>
        </w:rPr>
        <w:t>投标文件要求：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1440" w:leftChars="0" w:right="0" w:hanging="144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有效期内的营业执照正副本复印件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</w:rPr>
        <w:t>投标文件真实性的声明函；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</w:rPr>
        <w:t>投标代表为法人代表的，需提供法人代表证明书原件和法人代表身份证复印件；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</w:rPr>
        <w:t>投标代表非法人代表的，需提供“法定代表人授权书”原件及投标代表本人身份证</w:t>
      </w:r>
      <w:r>
        <w:rPr>
          <w:rFonts w:hint="eastAsia" w:asciiTheme="minorEastAsia" w:hAnsiTheme="minorEastAsia" w:cstheme="minorEastAsia"/>
          <w:spacing w:val="0"/>
          <w:sz w:val="24"/>
          <w:szCs w:val="24"/>
          <w:highlight w:val="none"/>
          <w:lang w:val="en-US" w:eastAsia="zh-CN"/>
        </w:rPr>
        <w:t>及复印件和法人身份证复印件；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pacing w:val="0"/>
          <w:sz w:val="24"/>
          <w:szCs w:val="24"/>
          <w:highlight w:val="none"/>
        </w:rPr>
        <w:t>投标人符合规定条件的业绩；</w:t>
      </w:r>
    </w:p>
    <w:p>
      <w:pPr>
        <w:pStyle w:val="19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400" w:lineRule="atLeast"/>
        <w:ind w:left="640" w:leftChars="0" w:right="0" w:hanging="64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spacing w:val="0"/>
          <w:sz w:val="24"/>
          <w:szCs w:val="24"/>
          <w:highlight w:val="none"/>
          <w:lang w:val="en-US" w:eastAsia="zh-CN"/>
        </w:rPr>
        <w:t>报价单；</w:t>
      </w:r>
    </w:p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AAF14"/>
    <w:multiLevelType w:val="singleLevel"/>
    <w:tmpl w:val="BDBAAF14"/>
    <w:lvl w:ilvl="0" w:tentative="0">
      <w:start w:val="1"/>
      <w:numFmt w:val="decimal"/>
      <w:suff w:val="nothing"/>
      <w:lvlText w:val="（%1）"/>
      <w:lvlJc w:val="left"/>
      <w:pPr>
        <w:ind w:left="1440"/>
      </w:pPr>
    </w:lvl>
  </w:abstractNum>
  <w:abstractNum w:abstractNumId="1">
    <w:nsid w:val="5F29FB43"/>
    <w:multiLevelType w:val="multilevel"/>
    <w:tmpl w:val="5F29FB43"/>
    <w:lvl w:ilvl="0" w:tentative="0">
      <w:start w:val="1"/>
      <w:numFmt w:val="decimal"/>
      <w:pStyle w:val="4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5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7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8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6E230785"/>
    <w:multiLevelType w:val="multilevel"/>
    <w:tmpl w:val="6E230785"/>
    <w:lvl w:ilvl="0" w:tentative="0">
      <w:start w:val="1"/>
      <w:numFmt w:val="bullet"/>
      <w:pStyle w:val="30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 w:eastAsia="宋体"/>
        <w:b w:val="0"/>
        <w:i w:val="0"/>
        <w:color w:val="auto"/>
        <w:position w:val="3"/>
        <w:sz w:val="13"/>
        <w:szCs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B1"/>
    <w:rsid w:val="00005ECF"/>
    <w:rsid w:val="00012023"/>
    <w:rsid w:val="000405AC"/>
    <w:rsid w:val="00044763"/>
    <w:rsid w:val="00047B21"/>
    <w:rsid w:val="000560E9"/>
    <w:rsid w:val="00057392"/>
    <w:rsid w:val="00077951"/>
    <w:rsid w:val="000A3087"/>
    <w:rsid w:val="000B4464"/>
    <w:rsid w:val="000C2E82"/>
    <w:rsid w:val="000D01DC"/>
    <w:rsid w:val="000D1384"/>
    <w:rsid w:val="000D3158"/>
    <w:rsid w:val="000D3EBB"/>
    <w:rsid w:val="000E6C73"/>
    <w:rsid w:val="000F486D"/>
    <w:rsid w:val="00100D30"/>
    <w:rsid w:val="00105CA5"/>
    <w:rsid w:val="00124E57"/>
    <w:rsid w:val="00125423"/>
    <w:rsid w:val="0012714D"/>
    <w:rsid w:val="00141A47"/>
    <w:rsid w:val="00163E41"/>
    <w:rsid w:val="00172FA7"/>
    <w:rsid w:val="00182483"/>
    <w:rsid w:val="00192276"/>
    <w:rsid w:val="00195AEE"/>
    <w:rsid w:val="001A7C1F"/>
    <w:rsid w:val="001B1E5A"/>
    <w:rsid w:val="001B2166"/>
    <w:rsid w:val="001C6C64"/>
    <w:rsid w:val="001D22E3"/>
    <w:rsid w:val="001D30C8"/>
    <w:rsid w:val="001D4125"/>
    <w:rsid w:val="00211F50"/>
    <w:rsid w:val="00215EB1"/>
    <w:rsid w:val="00226165"/>
    <w:rsid w:val="00241E44"/>
    <w:rsid w:val="0025327C"/>
    <w:rsid w:val="00257ECA"/>
    <w:rsid w:val="00262076"/>
    <w:rsid w:val="00262E91"/>
    <w:rsid w:val="00265555"/>
    <w:rsid w:val="00276FFB"/>
    <w:rsid w:val="0029220D"/>
    <w:rsid w:val="002A028F"/>
    <w:rsid w:val="002A2F22"/>
    <w:rsid w:val="002B3724"/>
    <w:rsid w:val="002B4D94"/>
    <w:rsid w:val="002C174D"/>
    <w:rsid w:val="002C347D"/>
    <w:rsid w:val="002C47E0"/>
    <w:rsid w:val="002E2553"/>
    <w:rsid w:val="0030283E"/>
    <w:rsid w:val="00305790"/>
    <w:rsid w:val="003064FF"/>
    <w:rsid w:val="00316E7F"/>
    <w:rsid w:val="00321A2A"/>
    <w:rsid w:val="00323B0A"/>
    <w:rsid w:val="00342205"/>
    <w:rsid w:val="00343C00"/>
    <w:rsid w:val="00343F0A"/>
    <w:rsid w:val="003475F0"/>
    <w:rsid w:val="00351C6E"/>
    <w:rsid w:val="003563CB"/>
    <w:rsid w:val="00386D7B"/>
    <w:rsid w:val="00391C08"/>
    <w:rsid w:val="003A0284"/>
    <w:rsid w:val="003A25FD"/>
    <w:rsid w:val="003A42B1"/>
    <w:rsid w:val="003A6F1C"/>
    <w:rsid w:val="003A738A"/>
    <w:rsid w:val="003B5E0C"/>
    <w:rsid w:val="003C7FD9"/>
    <w:rsid w:val="003D6B02"/>
    <w:rsid w:val="003E1C96"/>
    <w:rsid w:val="003E2417"/>
    <w:rsid w:val="0040427B"/>
    <w:rsid w:val="00407060"/>
    <w:rsid w:val="00411CDE"/>
    <w:rsid w:val="00412AF3"/>
    <w:rsid w:val="00430AAF"/>
    <w:rsid w:val="00443828"/>
    <w:rsid w:val="004452B1"/>
    <w:rsid w:val="00457032"/>
    <w:rsid w:val="004722E1"/>
    <w:rsid w:val="004A1EC6"/>
    <w:rsid w:val="004B371A"/>
    <w:rsid w:val="004B5E13"/>
    <w:rsid w:val="004C1E2A"/>
    <w:rsid w:val="004C4504"/>
    <w:rsid w:val="004E7141"/>
    <w:rsid w:val="004E774B"/>
    <w:rsid w:val="004F6B50"/>
    <w:rsid w:val="00513638"/>
    <w:rsid w:val="00524C60"/>
    <w:rsid w:val="00536D75"/>
    <w:rsid w:val="00542A3A"/>
    <w:rsid w:val="00554C6F"/>
    <w:rsid w:val="00564A81"/>
    <w:rsid w:val="00592BE3"/>
    <w:rsid w:val="00594E00"/>
    <w:rsid w:val="005B112D"/>
    <w:rsid w:val="005B6DE5"/>
    <w:rsid w:val="005C4C5D"/>
    <w:rsid w:val="005D481B"/>
    <w:rsid w:val="006078F4"/>
    <w:rsid w:val="00610FA9"/>
    <w:rsid w:val="00612A35"/>
    <w:rsid w:val="00615BFB"/>
    <w:rsid w:val="00626866"/>
    <w:rsid w:val="0063080F"/>
    <w:rsid w:val="00633F83"/>
    <w:rsid w:val="00637912"/>
    <w:rsid w:val="0064055B"/>
    <w:rsid w:val="00642113"/>
    <w:rsid w:val="00647AF9"/>
    <w:rsid w:val="00652BCA"/>
    <w:rsid w:val="00653EBB"/>
    <w:rsid w:val="00662545"/>
    <w:rsid w:val="00674A1B"/>
    <w:rsid w:val="00684A3B"/>
    <w:rsid w:val="006A108B"/>
    <w:rsid w:val="006A175F"/>
    <w:rsid w:val="006B0152"/>
    <w:rsid w:val="006C3C59"/>
    <w:rsid w:val="006D2FB2"/>
    <w:rsid w:val="006D7C85"/>
    <w:rsid w:val="006E0B3D"/>
    <w:rsid w:val="006E1182"/>
    <w:rsid w:val="006F7F06"/>
    <w:rsid w:val="00706699"/>
    <w:rsid w:val="00712304"/>
    <w:rsid w:val="00747E91"/>
    <w:rsid w:val="0075144C"/>
    <w:rsid w:val="00760B73"/>
    <w:rsid w:val="00762A2C"/>
    <w:rsid w:val="00764EA2"/>
    <w:rsid w:val="00766E86"/>
    <w:rsid w:val="00790F6B"/>
    <w:rsid w:val="00794EF8"/>
    <w:rsid w:val="007972B1"/>
    <w:rsid w:val="007A16F8"/>
    <w:rsid w:val="007A3D59"/>
    <w:rsid w:val="007B366A"/>
    <w:rsid w:val="007F6765"/>
    <w:rsid w:val="0085096F"/>
    <w:rsid w:val="008622ED"/>
    <w:rsid w:val="00864E41"/>
    <w:rsid w:val="00873B6D"/>
    <w:rsid w:val="008A59EC"/>
    <w:rsid w:val="008B7D7A"/>
    <w:rsid w:val="008B7FAD"/>
    <w:rsid w:val="008C0B4D"/>
    <w:rsid w:val="008E26F2"/>
    <w:rsid w:val="008F67AE"/>
    <w:rsid w:val="009113A1"/>
    <w:rsid w:val="00922C11"/>
    <w:rsid w:val="00932639"/>
    <w:rsid w:val="00954D61"/>
    <w:rsid w:val="009616E0"/>
    <w:rsid w:val="00965264"/>
    <w:rsid w:val="00965C71"/>
    <w:rsid w:val="00982F2C"/>
    <w:rsid w:val="009A03B2"/>
    <w:rsid w:val="009A194B"/>
    <w:rsid w:val="009B0BF6"/>
    <w:rsid w:val="009B5FAA"/>
    <w:rsid w:val="009B71A6"/>
    <w:rsid w:val="009C2E32"/>
    <w:rsid w:val="009C7372"/>
    <w:rsid w:val="009D454C"/>
    <w:rsid w:val="00A03F0B"/>
    <w:rsid w:val="00A17B48"/>
    <w:rsid w:val="00A20F42"/>
    <w:rsid w:val="00A23D56"/>
    <w:rsid w:val="00A319AB"/>
    <w:rsid w:val="00A53733"/>
    <w:rsid w:val="00A721FF"/>
    <w:rsid w:val="00A72D69"/>
    <w:rsid w:val="00A73BA4"/>
    <w:rsid w:val="00A74E85"/>
    <w:rsid w:val="00A839DD"/>
    <w:rsid w:val="00A84E01"/>
    <w:rsid w:val="00A94355"/>
    <w:rsid w:val="00A97CDC"/>
    <w:rsid w:val="00AC57D6"/>
    <w:rsid w:val="00AF3858"/>
    <w:rsid w:val="00B02D5C"/>
    <w:rsid w:val="00B17948"/>
    <w:rsid w:val="00B17D99"/>
    <w:rsid w:val="00B22808"/>
    <w:rsid w:val="00B43E34"/>
    <w:rsid w:val="00B54AB6"/>
    <w:rsid w:val="00B71EA7"/>
    <w:rsid w:val="00B747FF"/>
    <w:rsid w:val="00B82C44"/>
    <w:rsid w:val="00B82E83"/>
    <w:rsid w:val="00B85800"/>
    <w:rsid w:val="00B966D3"/>
    <w:rsid w:val="00BA1057"/>
    <w:rsid w:val="00BB1D30"/>
    <w:rsid w:val="00BD3CD9"/>
    <w:rsid w:val="00BD44D5"/>
    <w:rsid w:val="00BF545F"/>
    <w:rsid w:val="00C1048F"/>
    <w:rsid w:val="00C25A7D"/>
    <w:rsid w:val="00C30F50"/>
    <w:rsid w:val="00C426DF"/>
    <w:rsid w:val="00C4520C"/>
    <w:rsid w:val="00C554D4"/>
    <w:rsid w:val="00C66EFF"/>
    <w:rsid w:val="00C723AF"/>
    <w:rsid w:val="00C74C03"/>
    <w:rsid w:val="00CA4265"/>
    <w:rsid w:val="00CB12FB"/>
    <w:rsid w:val="00CD5843"/>
    <w:rsid w:val="00CF0CBC"/>
    <w:rsid w:val="00CF0D4F"/>
    <w:rsid w:val="00CF2A83"/>
    <w:rsid w:val="00D162A8"/>
    <w:rsid w:val="00D25316"/>
    <w:rsid w:val="00D36178"/>
    <w:rsid w:val="00D528E0"/>
    <w:rsid w:val="00D648EA"/>
    <w:rsid w:val="00D656DE"/>
    <w:rsid w:val="00D75382"/>
    <w:rsid w:val="00D810CD"/>
    <w:rsid w:val="00D90846"/>
    <w:rsid w:val="00D93BEA"/>
    <w:rsid w:val="00DC400A"/>
    <w:rsid w:val="00DD320C"/>
    <w:rsid w:val="00DD6B8B"/>
    <w:rsid w:val="00DF6AC5"/>
    <w:rsid w:val="00E33D05"/>
    <w:rsid w:val="00E416B0"/>
    <w:rsid w:val="00E521D5"/>
    <w:rsid w:val="00E61421"/>
    <w:rsid w:val="00E65584"/>
    <w:rsid w:val="00E838D0"/>
    <w:rsid w:val="00EA449E"/>
    <w:rsid w:val="00EE076E"/>
    <w:rsid w:val="00EE7CDD"/>
    <w:rsid w:val="00EF1BF0"/>
    <w:rsid w:val="00F11DAD"/>
    <w:rsid w:val="00F12E26"/>
    <w:rsid w:val="00F30343"/>
    <w:rsid w:val="00F44C00"/>
    <w:rsid w:val="00F44C96"/>
    <w:rsid w:val="00F45168"/>
    <w:rsid w:val="00F50023"/>
    <w:rsid w:val="00F73A79"/>
    <w:rsid w:val="00F76BDF"/>
    <w:rsid w:val="00F96E84"/>
    <w:rsid w:val="00FA32A0"/>
    <w:rsid w:val="00FB0AAA"/>
    <w:rsid w:val="00FC04E9"/>
    <w:rsid w:val="00FC0BA6"/>
    <w:rsid w:val="00FC461D"/>
    <w:rsid w:val="00FD3D79"/>
    <w:rsid w:val="02D46401"/>
    <w:rsid w:val="0405748B"/>
    <w:rsid w:val="049802FF"/>
    <w:rsid w:val="055C5C93"/>
    <w:rsid w:val="08C94F2B"/>
    <w:rsid w:val="0B8C422C"/>
    <w:rsid w:val="0F6E05DA"/>
    <w:rsid w:val="108D683E"/>
    <w:rsid w:val="122338FE"/>
    <w:rsid w:val="156B27E5"/>
    <w:rsid w:val="186C142F"/>
    <w:rsid w:val="1E3FAB06"/>
    <w:rsid w:val="201E11C5"/>
    <w:rsid w:val="20A98C55"/>
    <w:rsid w:val="21D95D87"/>
    <w:rsid w:val="227B299A"/>
    <w:rsid w:val="25F27417"/>
    <w:rsid w:val="262F3FF1"/>
    <w:rsid w:val="2741623A"/>
    <w:rsid w:val="27C22E19"/>
    <w:rsid w:val="28060F58"/>
    <w:rsid w:val="337E072C"/>
    <w:rsid w:val="34E46AC5"/>
    <w:rsid w:val="39B27192"/>
    <w:rsid w:val="3B1479D8"/>
    <w:rsid w:val="3D096A38"/>
    <w:rsid w:val="3E946E66"/>
    <w:rsid w:val="44D25A49"/>
    <w:rsid w:val="45152A2C"/>
    <w:rsid w:val="456270F2"/>
    <w:rsid w:val="45F722FD"/>
    <w:rsid w:val="4780737E"/>
    <w:rsid w:val="47833F1C"/>
    <w:rsid w:val="4C8A18A8"/>
    <w:rsid w:val="4CAF57B3"/>
    <w:rsid w:val="4DFFEF47"/>
    <w:rsid w:val="4FFF20A1"/>
    <w:rsid w:val="517F39A6"/>
    <w:rsid w:val="540463E4"/>
    <w:rsid w:val="57ABF3B2"/>
    <w:rsid w:val="57F4051E"/>
    <w:rsid w:val="58F33322"/>
    <w:rsid w:val="5B084A0C"/>
    <w:rsid w:val="5C9DA247"/>
    <w:rsid w:val="5E0C320A"/>
    <w:rsid w:val="5FDFB220"/>
    <w:rsid w:val="600D4872"/>
    <w:rsid w:val="60496549"/>
    <w:rsid w:val="62BA6289"/>
    <w:rsid w:val="64552344"/>
    <w:rsid w:val="64B254D8"/>
    <w:rsid w:val="65DF0715"/>
    <w:rsid w:val="66D103A8"/>
    <w:rsid w:val="68C57CDC"/>
    <w:rsid w:val="696C43B8"/>
    <w:rsid w:val="6F40431D"/>
    <w:rsid w:val="6F7DBBB1"/>
    <w:rsid w:val="6FBB4D79"/>
    <w:rsid w:val="6FDFC24B"/>
    <w:rsid w:val="707E9BEF"/>
    <w:rsid w:val="78EBDB5B"/>
    <w:rsid w:val="7BB40B99"/>
    <w:rsid w:val="7C907F65"/>
    <w:rsid w:val="7D480412"/>
    <w:rsid w:val="7DD65E4C"/>
    <w:rsid w:val="7DFAADEA"/>
    <w:rsid w:val="7EA68184"/>
    <w:rsid w:val="7F390D88"/>
    <w:rsid w:val="7F8ACDFF"/>
    <w:rsid w:val="7FFD9792"/>
    <w:rsid w:val="7FFE9A25"/>
    <w:rsid w:val="9F5728B1"/>
    <w:rsid w:val="A5F20654"/>
    <w:rsid w:val="AFFFA92C"/>
    <w:rsid w:val="B83FBCF2"/>
    <w:rsid w:val="BB1FA24E"/>
    <w:rsid w:val="DD5F04A7"/>
    <w:rsid w:val="DFFDEB62"/>
    <w:rsid w:val="EFF98F31"/>
    <w:rsid w:val="F3DF4845"/>
    <w:rsid w:val="F7B7FF21"/>
    <w:rsid w:val="FBBF38E7"/>
    <w:rsid w:val="FCFF1A69"/>
    <w:rsid w:val="FDEC9779"/>
    <w:rsid w:val="FFB39AD0"/>
    <w:rsid w:val="FFBDA828"/>
    <w:rsid w:val="FFD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360" w:lineRule="auto"/>
      <w:outlineLvl w:val="0"/>
    </w:pPr>
    <w:rPr>
      <w:rFonts w:eastAsia="宋体"/>
      <w:b/>
      <w:kern w:val="44"/>
      <w:sz w:val="28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line="360" w:lineRule="auto"/>
      <w:outlineLvl w:val="1"/>
    </w:pPr>
    <w:rPr>
      <w:rFonts w:ascii="DejaVu Sans" w:hAnsi="DejaVu Sans" w:eastAsia="方正黑体_GBK"/>
      <w:b/>
    </w:rPr>
  </w:style>
  <w:style w:type="paragraph" w:styleId="6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rFonts w:asciiTheme="minorAscii" w:hAnsiTheme="minorAscii"/>
      <w:b/>
      <w:sz w:val="24"/>
    </w:rPr>
  </w:style>
  <w:style w:type="paragraph" w:styleId="7">
    <w:name w:val="heading 4"/>
    <w:basedOn w:val="1"/>
    <w:next w:val="1"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DejaVu Sans" w:hAnsi="DejaVu Sans" w:eastAsia="方正黑体_GBK"/>
      <w:b/>
      <w:sz w:val="28"/>
    </w:rPr>
  </w:style>
  <w:style w:type="paragraph" w:styleId="8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DejaVu Sans" w:hAnsi="DejaVu Sans" w:eastAsia="方正黑体_GBK"/>
      <w:b/>
      <w:sz w:val="24"/>
    </w:rPr>
  </w:style>
  <w:style w:type="paragraph" w:styleId="10">
    <w:name w:val="heading 7"/>
    <w:basedOn w:val="1"/>
    <w:next w:val="1"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DejaVu Sans" w:hAnsi="DejaVu Sans" w:eastAsia="方正黑体_GBK"/>
      <w:sz w:val="24"/>
    </w:rPr>
  </w:style>
  <w:style w:type="paragraph" w:styleId="12">
    <w:name w:val="heading 9"/>
    <w:basedOn w:val="1"/>
    <w:next w:val="1"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DejaVu Sans" w:hAnsi="DejaVu Sans" w:eastAsia="方正黑体_GBK"/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720"/>
      </w:tabs>
      <w:ind w:firstLine="42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 w:afterLines="0"/>
      <w:ind w:left="420" w:leftChars="200"/>
    </w:pPr>
  </w:style>
  <w:style w:type="paragraph" w:styleId="13">
    <w:name w:val="annotation text"/>
    <w:basedOn w:val="1"/>
    <w:unhideWhenUsed/>
    <w:qFormat/>
    <w:uiPriority w:val="99"/>
    <w:pPr>
      <w:jc w:val="left"/>
    </w:pPr>
  </w:style>
  <w:style w:type="paragraph" w:styleId="14">
    <w:name w:val="Body Text"/>
    <w:basedOn w:val="1"/>
    <w:next w:val="1"/>
    <w:unhideWhenUsed/>
    <w:qFormat/>
    <w:uiPriority w:val="99"/>
    <w:pPr>
      <w:spacing w:after="120"/>
    </w:pPr>
  </w:style>
  <w:style w:type="paragraph" w:styleId="15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2"/>
    <w:basedOn w:val="1"/>
    <w:unhideWhenUsed/>
    <w:qFormat/>
    <w:uiPriority w:val="99"/>
    <w:pPr>
      <w:spacing w:line="480" w:lineRule="auto"/>
    </w:pPr>
    <w:rPr>
      <w:rFonts w:asciiTheme="minorHAnsi" w:hAnsiTheme="minorHAnsi" w:eastAsiaTheme="minorEastAsia" w:cstheme="minorBidi"/>
    </w:rPr>
  </w:style>
  <w:style w:type="paragraph" w:styleId="19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Body Text First Indent"/>
    <w:basedOn w:val="14"/>
    <w:unhideWhenUsed/>
    <w:qFormat/>
    <w:uiPriority w:val="99"/>
    <w:pPr>
      <w:spacing w:line="360" w:lineRule="auto"/>
      <w:ind w:firstLine="420" w:firstLineChars="100"/>
    </w:pPr>
    <w:rPr>
      <w:rFonts w:ascii="Calibri" w:hAnsi="Calibri"/>
    </w:rPr>
  </w:style>
  <w:style w:type="table" w:styleId="22">
    <w:name w:val="Table Grid"/>
    <w:basedOn w:val="21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annotation reference"/>
    <w:basedOn w:val="23"/>
    <w:unhideWhenUsed/>
    <w:qFormat/>
    <w:uiPriority w:val="99"/>
    <w:rPr>
      <w:sz w:val="21"/>
      <w:szCs w:val="21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character" w:customStyle="1" w:styleId="26">
    <w:name w:val="页眉 Char"/>
    <w:basedOn w:val="23"/>
    <w:link w:val="17"/>
    <w:qFormat/>
    <w:uiPriority w:val="99"/>
    <w:rPr>
      <w:sz w:val="18"/>
      <w:szCs w:val="18"/>
    </w:rPr>
  </w:style>
  <w:style w:type="character" w:customStyle="1" w:styleId="27">
    <w:name w:val="页脚 Char"/>
    <w:basedOn w:val="23"/>
    <w:link w:val="16"/>
    <w:qFormat/>
    <w:uiPriority w:val="99"/>
    <w:rPr>
      <w:sz w:val="18"/>
      <w:szCs w:val="18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sz w:val="24"/>
      <w:szCs w:val="24"/>
      <w:lang w:val="en-US" w:eastAsia="zh-CN" w:bidi="ar-SA"/>
    </w:rPr>
  </w:style>
  <w:style w:type="table" w:customStyle="1" w:styleId="29">
    <w:name w:val="Table Normal"/>
    <w:qFormat/>
    <w:uiPriority w:val="0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Item List in Table"/>
    <w:basedOn w:val="1"/>
    <w:qFormat/>
    <w:uiPriority w:val="0"/>
    <w:pPr>
      <w:widowControl/>
      <w:numPr>
        <w:ilvl w:val="0"/>
        <w:numId w:val="2"/>
      </w:numPr>
      <w:topLinePunct/>
      <w:adjustRightInd w:val="0"/>
      <w:snapToGrid w:val="0"/>
      <w:spacing w:before="80" w:after="80" w:line="240" w:lineRule="atLeast"/>
      <w:jc w:val="left"/>
    </w:pPr>
    <w:rPr>
      <w:rFonts w:hint="eastAsia" w:ascii="Times New Roman" w:hAnsi="Times New Roman" w:eastAsia="宋体" w:cs="Arial"/>
      <w:kern w:val="0"/>
      <w:szCs w:val="21"/>
    </w:rPr>
  </w:style>
  <w:style w:type="paragraph" w:customStyle="1" w:styleId="31">
    <w:name w:val="正文 首行缩进:  2 字符"/>
    <w:basedOn w:val="1"/>
    <w:qFormat/>
    <w:uiPriority w:val="0"/>
    <w:pPr>
      <w:ind w:firstLine="579" w:firstLineChars="200"/>
    </w:pPr>
    <w:rPr>
      <w:rFonts w:ascii="Calibri" w:hAnsi="Calibri"/>
      <w:szCs w:val="20"/>
    </w:rPr>
  </w:style>
  <w:style w:type="character" w:customStyle="1" w:styleId="32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0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4">
    <w:name w:val="font91"/>
    <w:basedOn w:val="2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5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4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7">
    <w:name w:val="font71"/>
    <w:basedOn w:val="2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paragraph" w:customStyle="1" w:styleId="38">
    <w:name w:val="List Paragraph"/>
    <w:basedOn w:val="1"/>
    <w:qFormat/>
    <w:uiPriority w:val="34"/>
    <w:pPr>
      <w:ind w:firstLine="420"/>
    </w:pPr>
  </w:style>
  <w:style w:type="paragraph" w:customStyle="1" w:styleId="39">
    <w:name w:val="*正文"/>
    <w:basedOn w:val="1"/>
    <w:qFormat/>
    <w:uiPriority w:val="0"/>
    <w:pPr>
      <w:widowControl/>
      <w:ind w:firstLine="560"/>
      <w:jc w:val="left"/>
    </w:pPr>
    <w:rPr>
      <w:rFonts w:ascii="仿宋_GB2312" w:hAnsi="宋体" w:eastAsia="宋体" w:cs="Times New Roman"/>
      <w:color w:val="000000"/>
      <w:kern w:val="0"/>
      <w:sz w:val="24"/>
      <w:szCs w:val="28"/>
    </w:rPr>
  </w:style>
  <w:style w:type="paragraph" w:customStyle="1" w:styleId="40">
    <w:name w:val="_Style 1"/>
    <w:basedOn w:val="1"/>
    <w:qFormat/>
    <w:uiPriority w:val="34"/>
    <w:pPr>
      <w:ind w:firstLine="420" w:firstLineChars="200"/>
    </w:pPr>
    <w:rPr>
      <w:sz w:val="28"/>
      <w:szCs w:val="24"/>
    </w:rPr>
  </w:style>
  <w:style w:type="paragraph" w:customStyle="1" w:styleId="41">
    <w:name w:val="宋体五号"/>
    <w:basedOn w:val="14"/>
    <w:qFormat/>
    <w:uiPriority w:val="0"/>
    <w:pPr>
      <w:spacing w:after="0" w:line="360" w:lineRule="auto"/>
      <w:ind w:firstLine="420" w:firstLineChars="200"/>
    </w:pPr>
    <w:rPr>
      <w:rFonts w:ascii="宋体" w:hAnsi="宋体" w:eastAsia="宋体" w:cs="Times New Roman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8</Pages>
  <Words>802</Words>
  <Characters>4574</Characters>
  <Lines>38</Lines>
  <Paragraphs>10</Paragraphs>
  <TotalTime>8</TotalTime>
  <ScaleCrop>false</ScaleCrop>
  <LinksUpToDate>false</LinksUpToDate>
  <CharactersWithSpaces>5366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2020-08-01T12:53:00Z</dcterms:created>
  <dc:creator>Windows 用户</dc:creator>
  <cp:lastModifiedBy>user</cp:lastModifiedBy>
  <dcterms:modified xsi:type="dcterms:W3CDTF">2022-02-10T03:13:53Z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_2015_ms_pID_725343">
    <vt:lpwstr>(2)nHrLJmD9H0mjY+s9tFF4vVsE/djiNCw4cAuuGKwqHVVqxEl3zjDC24gq72MxK1i+JE5cc0WR
rSQNdsKLtgab/dtXkwYuxeAipxmdMrcHcJVmwfb5xQTNru5ES81Sb2GhXe1a4dQRHwDFMlCJ
7w4XWRxYmvYdYZGl5m/F1SNEO7GppjXCRFnDPNSm9Tuy5e0Exqn0Hr3cR0z20FGTFf0INYlY
fNbCm9ELjXHMspWT/4</vt:lpwstr>
  </property>
  <property fmtid="{D5CDD505-2E9C-101B-9397-08002B2CF9AE}" pid="4" name="_2015_ms_pID_7253431">
    <vt:lpwstr>Ma0UnQJ2x7YrDN2EHmhtDRlgTfCfBYzhvb81HkU2ZYAHB4LaYzj7/M
gLwGYTvZJPuMt5LdS8Y5zCcoSSh4XS4b/uPoh3jUBn1pt1/OvmALXfY9b9W8LkkBY9vG/aO9
5uiucvCbCtV7QexpbgyLYkeYgXPH0iT2YmX98byi+2HqekpITPpY29BIpPVUtmREeAaG7Ft8
wn+umQahp2WLt4Ru</vt:lpwstr>
  </property>
  <property fmtid="{D5CDD505-2E9C-101B-9397-08002B2CF9AE}" pid="5" name="ICV">
    <vt:lpwstr>C0A9D1FBC2414A769865A301A9F8455E</vt:lpwstr>
  </property>
</Properties>
</file>